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合肥市经济和信息化委员会关于对2012年度百家节能低碳行动企业(单位)节能目标完成情况进行考核的通知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合肥市经济和信息化委员会关于对2012年度百家节能低碳行动企业(单位)节能目标完成情况进行考核的通知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合经信节能[2013]167号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各县（市）区经委（经信委、经促局）、开发区经贸局、市直相关部门、各相关企业（单位）：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做好2012年度节能目标考评工作，市节能办将于5月7日—14日委托市节能监察中心对各县（市）区、开发区、市直相关部门与市政府签订目标责任书的百家节能低碳行动企业（单位）（以下简称百家企业）节能目标完成情况进行考核。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一、考核内容及程序：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1、各县（市）区经委（经信委、经促局）、开发区经贸局、市直相关部门汇报辖区内百家企业2012年度节能目标完成情况；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2、所辖区内“百家企业"（见附表1）汇报2012年度节能目标完成情况及工作措施；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3、考核组检查重点耗能企业节能工作相关文件、记录、数据、证明材料；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4、抽取部分企业进行实地核查。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二、时间及行程安排：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考核将分成三组进行，具体行程如下：</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501"/>
        <w:gridCol w:w="1767"/>
        <w:gridCol w:w="1502"/>
        <w:gridCol w:w="586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4"/>
            <w:tcBorders>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第一组：</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地点</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抽查企业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5月7日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上午8:30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庐阳区经促局</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皖能合肥发电有限公司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下午14:30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长丰县经委</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安徽长丰海螺水泥有限公司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5月8日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上午8:30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高新区经贸局</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下午14:30</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合肥美的荣事达电冰箱有限公司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安徽国风集团有限公司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5月9日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上午8:30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经开区经贸局</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下午14:30</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联合利华（中国）有限公司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安徽合力股份有限公司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5月10日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上午8:30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包河区经促局</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5月13日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下午14:30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蜀山区经促局</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安徽中烟工业公司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4"/>
            <w:tcBorders>
              <w:top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第二组：</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5月7日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上午8:30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瑶海区经促局</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下午14:30</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安徽锦帮化工股份有限公司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安徽安能热电股份有限公司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5月8日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上午8:30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新站区经贸局</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合肥京东方光电科技有限公司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下午14:30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肥东县经委</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安徽省合肥联合发电有限公司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5月9日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上午9:00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庐江县经信委</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下午14:30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安徽大江股份有限公司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5月10日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上午9:00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巢湖市经委</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下午14:30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华能巢湖发电有限责任公司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5月13日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下午14:30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肥西县经委</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安徽晋煤金龙源化工有限公司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4"/>
            <w:tcBorders>
              <w:top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第三组：</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5月7日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上午8:30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市卫生局</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下午：抽查单位（待定）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5月8日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上午8:30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市建委</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下午：抽查单位（待定）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5月9日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上午8:30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下午：抽查单位（待定）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5月10日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上午8:30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市旅游局</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下午：抽查单位（待定）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5月13日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上午8:30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市交通局</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下午：抽查单位（待定）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5月14日</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上午8:30</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市教育局</w:t>
            </w:r>
          </w:p>
        </w:tc>
        <w:tc>
          <w:tcPr>
            <w:tcW w:w="166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下午：抽查单位（待定）</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三、相关要求：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1、各县（市）区经委（经信委、经促局）、开发区经贸局、市直相关部门要高度重视考核工作，并准备好辖区内百家企业2012年度节能目标完成情况综合评价报告及汇总表（见附表2）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通知辖区内百家企业按时参加考核并准备完整的节能目标完成情况自查报告一式三份（含2011及2012两个年度的P201表、B201表、节能量计算表及自查评分表）参会，并提供可支持考核指标的证明材料，以便评价考核工作能够方便、快捷、客观地进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3、请各县市区、开发区接通知按照考核时间安排，认真做好迎接的准备工作并及时与考核小组联系人联系。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联系人：第一组董林，62650883 18956063782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第二组秦业霞，62650855 13956610058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第三组周广莺，63538802 13856008386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附表1：百家节能低碳行动企业名单（略）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附表2：百家节能低碳行动企业2012年节能目标考核</w:t>
      </w:r>
      <w:r>
        <w:rPr>
          <w:rStyle w:val="13"/>
          <w:rFonts w:ascii="宋体" w:hAnsi="宋体" w:eastAsia="宋体" w:cs="宋体"/>
          <w:color w:val="000000"/>
          <w:sz w:val="27"/>
          <w:szCs w:val="27"/>
          <w:lang/>
        </w:rPr>
        <w:t>情况汇总表（略）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2013年4月28日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"https://www.pkulaw.com/lar/1fb1dcd1e8cdcbadcc53f1e5171095b6bdfb.html"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https://www.pkulaw.com/lar/1fb1dcd1e8cdcbadcc53f1e5171095b6bdfb.html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【法宝引证码】CLI.14.2631018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5C31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 w:type="character" w:customStyle="1" w:styleId="13">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2023-01-28T13:48:08Z</dcterms:created>
  <dc:creator>xmintie.</dc:creator>
  <cp:lastModifiedBy>xmintie.</cp:lastModifiedBy>
  <dcterms:modified xsi:type="dcterms:W3CDTF">2023-01-28T13:48:08Z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BD16428B819C4ED7AA633D01BA23E772</vt:lpwstr>
  </property>
</Properties>
</file>