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山东省发展改革委、山东省生态环境厅、山东省教育厅等部门联合印发《关于2020年全省节能宣传周和低碳日活动的通知》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山东省发展改革委、山东省生态环境厅、山东省教育厅等部门联合印发《关于2020年全省节能宣传周和低碳日活动的通知》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（发改环资〔2020〕813号）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有关部门、单位，山东省军区保障局、山东省武警总队保障部，各市总工会、团委、妇联、发展改革委（能源局）、生态环境局、教育局、科技局、工业和信息化局、住房城乡建设局、交通运输局（委）、农业农村局（农委）、商务局、国资监管机构、广电局、机关事务局（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深入贯彻习近平新时代中国特色社会主义思想，践行习近平生态文明思想，落实党的十九大和十九届二中、三中、四中全会精神，牢固树立创新、协调、绿色、开放、共享的发展理念，广泛开展全民节能低碳宣传教育，大力倡导勤俭节约、绿色低碳的社会风尚，在全社会营造节能降碳的浓厚氛围，近日，国家发展改革委等14部委下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"https://www.pkulaw.com/chl/35a0dbcd39469088bdfb.html?way=textSlc"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关于开展2020年全国节能宣传周和全国低碳日活动的通知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》（发改环资〔2020〕920号），定于今年6月29日至7月5日为全国节能宣传周，7月2日为全国低碳日。为认真贯彻落实国家统一部署，做好今年我省节能宣传周和低碳日集中宣传活动，现将有关事项通知如下。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今年全省节能宣传周活动的主题是“绿水青山，节能增效”。全国低碳日活动的主题是“绿色低碳，全面小康”。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节能宣传周期间， 省发展改革委将会同有关单位围绕宣传主题，组织开展相关宣传活动，并面向全社会征集“节能金点子”，提升全社会节能意识和节能能力，提高能源资源利用效率，持续推进生态文明建设。各市、各部门要围绕宣传重点，组织动员社会各界积极参与，普及生态文明、绿色发展、节能降耗理念和知识，加快形成绿色生产生活方式。要通过群众喜闻乐见的宣传形式，广泛动员全社会参与节能降耗。积极运用网站及微信、微博、视频平台等新兴媒体，充分发挥电视、广播、报纸等传统媒体优势，加大宣传力度。加强与网络、通讯、交通、城管等部门的衔接，妥善做好相关宣传材料的推送、发布、播放及张贴工作。要结合工作实际开展具有地方特色的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全省低碳日期间，省生态环境厅将会同有关单位围绕低碳日宣传主题，组织开展相关宣传活动，倡导低碳生产生活方式，普及应对气候变化知识，宣传低碳发展理念，提升公众低碳意识。鼓励各部门、各市结合工作实际开展各具特色的低碳宣传活动，动员全社会广泛参与低碳行动，培育引领低碳新风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各市节能宣传周和低碳日活动牵头部门要切实发挥作用，加强沟通协作，会同联合主办部门做好本地区节能宣传周和低碳日的组织工作；联合主办、参与部门要组织本系统力量围绕宣传重点开展各类宣传活动。各有关单位要丰富宣传形式，积极开展先进节能技术产品线上展览展示和推广、线上节能知识讲座、绿色消费推广、低碳知识普及等宣传活动，动员民众绿色低碳出行、积极参与节能宣传活动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各市、各部门要严格按照党中央、国务院疫情防控工作统一部署和相关要求，根据本地区疫情防控工作实际，在做好常态化疫情防控的同时，以线上方式为主，开展本市、本部门宣传活动。要坚决贯彻执行中央八项规定精神，坚持节俭办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各联合主办部门、各市节能宣传周和低碳日活动牵头部门在节能宣传周和低碳日要办好具有行业特点、地方特色的宣传活动，并及时报送活动进展及宣传材料，分别提交至省发展改革委和省生态环境厅。省发展改革委和省生态环境厅视情况将有关活动宣传材料在门户网站进行集中展示，并组织媒体统一宣传报道。活动结束后，各联合主办部门、各市节能宣传周和低碳日活动牵头部门要对本年度节能宣传周和低碳日活动情况进行总结，并于7月15日前将书面总结材料分别提交省发展改革委资源环境处，联系电话：0531-86191959，邮箱：hzc_sdfgw@shandong.cn；省生态环境厅应对气候变化处，联系电话：0531-66226387，邮箱：sdqhc@shandong.cn。</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附件：1.2020年全省节能宣传周和全国低碳日宣传重点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2.2020年省有关部门节能宣传周和低碳日期间主要活动安排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3.节能金点子征集方案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山东省发展和改革委员会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山东省教育厅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山东省科学技术厅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山东省交通运输厅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山东省农业农村厅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山东省商务厅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山东省人民政府国有资产监督管理委员会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山东省广播电视局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山东省机关事务管理局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山东省能源局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山东省总工会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共青团山东省委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山东省妇女联合会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2020年6月24日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2020年全省节能宣传周和低碳日宣传重点</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2020年全省节能宣传周和低碳日活动各联合主办部门要根据节能宣传周和低碳日主题，结合以下重点内容，组织安排好相关活动。</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节能主管部门要积极贯彻落实《“十三五”节能减排综合工作方案》《“十三五”全民节能行动计划》等相关要求，围绕“绿水青山，节能增效”主题，以线上宣传方式为主，积极开展节能宣传周有关宣传活动，宣传节能理念、普及节能知识、提升全民节能意识，培养广大民众勤俭节约、绿色低碳的生产方式、消费模式和生活习惯。积极推广先进适用节能技术和高效节能产品，宣传能效标识制度实施成效，开展绿色消费活动；鼓励民众绿色出行；响应塑料污染治理倡议；配合做好节能云视界、节能云课堂、节能技术云展览、绿色云生活、绿色云消费等线上宣传活动。各地要根据本地区实际情况，在做好疫情防控的前提下，自主开展具有地方特色的宣传活动，并积极运用新兴媒体和传统媒体，加大宣传力度。</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生态环境主管部门围绕绿色低碳的生产生活方式助力全面建成小康社会，开展形式丰富多样、内容生动活泼、公众广泛参与的宣传活动。重点宣传在控制温室气体排放，创新绿色低碳发展模式，推进碳市场建设，减轻气候变化不利影响，推广绿色低碳的生活和消费方式，协同推进大气污染防治和应对气候变化等方面的进展。</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教育部门和各级各类学校要结合今年疫情防控的实际情况，广泛开展贴近师生实际、形式灵活多样的节能降碳宣传教育活动，重点普及垃圾分类、循环经济、无废城市宣传教育，大力培育节能降碳从我做起的责任意识，以落实《中小学德育工作指南》为抓手，切实加强中小学生节约养成教育；突出社会主义核心价值观这一主线，持续推动《中等职业学校学生公约》学习落实活动；积极开展全国大学生节能降碳社会实践和科技创新活动，推动形成崇尚节约、低碳环保、生态文明的校园新风尚。</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科技主管部门要广泛开展节能减排低碳科技创新成果的宣传和推广活动，鼓励节能减排低碳新技术、新工艺、新产品的示范和应用推广，推动相关产业节能减排低碳技术升级改造，营造节能减排低碳科技创新环境氛围，引导全社会使用节能低碳创新产品。</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业和信息化部门要积极贯彻落实制造强国战略、网络强国战略和《工业绿色发展规划》，持续宣传并深入推行绿色制造，以多种形式在工业通信业企业、园区宣传一批节能与绿色发展优秀案例、典型模式、重大技术以及标志性产品，重点宣传普及工业通信业领域节能低碳的法律法规、政策、标准及相关知识，引导企业职工自觉参与节能低碳，形成良好的绿色发展氛围。积极开展节能诊断、“节能服务进企业”等交流推广活动，推动将先进节能低碳技术、装备和管理模式引入到企业，促进企业节能降耗、降本增效。</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各级住房城乡建设主管部门要积极宣传建筑节能和绿色建筑工作取得的成效，倡导绿色生活方式。开展国家标准《绿色建筑评价标准》（GB/T 50378-2019）宣贯，制定配套标准规范，推动标准实施应用，并加强媒体宣传和科普报道，向公众传播绿色建筑标准理念。引导群众用好各类绿色设施，合理控制室内采暖空调温度，倡导居民行为节能，使绿色建筑发挥实际效益。开展建筑节能与绿色建筑宣传活动，利用宣传栏、微博、微信等平台，宣传建筑节能和绿色建筑政策法规、技术产品与相关生活常识，提高社会公众绿色意识。</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各级交通运输部门要以“践行绿色发展理念 助力交通强国建设”为主题，采用“政府倡导、社会参与、媒体报道”组织形式，鼓励机关单位节能低碳办公，提高广大干部职工节能低碳意识，倡导社会公众绿色低碳出行，开展节能低碳主题宣传，积极推广绿色交通发展的成功经验和做法，助力交通强国和强省建设。</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农业农村部门要深入推进农村可再生能源开发利用，大力推广农村沼气、秸秆打捆直燃、生物质成型燃料、太阳能光热利用等技术模式及配套清洁炉灶。深入推进农机报废更新补贴实施，加快淘汰能耗高、污染重的老旧机械，发挥好农机更新在农业绿色发展方面的作用。深入推进化肥、农药减量增效，做好农药肥料包装废弃物回收处理。深入推进农业废弃物资源化利用，开展秸秆“五料化”综合利用；加大新修订地膜国家标准宣贯力度，推进废旧地膜回收处理；推进养殖生产清洁化，推广节水、节料等清洁养殖工艺和干清粪、微生物发酵等实用技术，加强畜禽粪污资源化利用。深入推进水产生态健康养殖，推广渔光互补、池塘循环水养殖、热能循环利用等节能技术模式。推广科技含量高的农产品及加工副产物循环利用、全值高值利用和梯次利用成型模式。进一步加大技术咨询和宣传培训，引导农民转变生产生活方式，提高节能意识，形成农业农村生产和生活方式。</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各级商务主管部门要有序开展绿色商场创建，在节能宣传周期间，以绿色商场为平台，落实《国家发展改革委 生态环境部</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"https://www.pkulaw.com/chl/d97032b616ba604ebdfb.html?way=textSlc"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关于进一步加强塑料污染治理的意见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》《山东省进一步加强塑料污染治理实施方案》相关要求，通过发布“减塑”倡议、开展“减塑”宣传、推广应用替代产品等方式，禁止、限制部分塑料制品的销售和使用，引导消费者逐步禁用不可降解塑料袋。</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国资部门要指导督促所属国有企业以节能低碳促进绿色发展、高质量发展为重点开展好宣传活动。指导企业加强对主题宣传活动的组织领导，立足自身实际，精心筹划活动方案。在做好疫情防控工作的同时，创新工作形式，充分运用信息化手段，向员工广泛宣传开展节能工作对企业提质增效、实现可持续发展的重要推动作用。积极推广应用节能高效的技术、工艺和装备，鼓励员工开展节能技术创新和技能竞赛。开展线上培训、讲座、研讨等活动，使节能降碳理念深入人心。充分发挥国有企业在推进生态文明建设中的示范引领作用，指导企业坚定不移走绿色发展道路，努力在高水平保护中实现高质量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广电行政管理部门要指导推动广播电视媒体在重点栏目、重点时段，综合运用新闻、专题、纪录片等多种形式，深入解读国家和省推进节能减排工作的各项方针政策、会议精神和部署要求，突出宣传我省在推进节能减排、应对气候变化方面所采取的有力举措和取得的重大成效，深入宣传全省经济社会发展面临的资源环境形势，在全社会普及节能知识、提升节能意识、树立节能观念，为引导公民积极参与节能减排营造良好的舆论环境。鼓励各级广播电视播出机构制作播出更多节能宣传教育的公益广告作品；并围绕生态文明建设主题推出纪录片和广播电视节目、网络视听作品，切实反映我国生态文明建设和环境保护工作成效、经验和做法。</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公共机构节能主管部门要聚焦公共机构能源资源节约，围绕节约型机关、绿色学校、绿色出行、绿色建筑等绿色生活创建内容，加快完善能源资源管理体系，带头推行绿色办公，全面实行生活垃圾分类，综合运用多种宣传手段，组织各级各类公共机构开展形式多样、广泛参与的宣传教育实践活动，选树先进典型、推广经验做法，引导干部职工养成绿色低碳的生活和工作方式，充分发挥公共机构在“守护绿水青山、建设美丽中国”中的示范引领作用，确保公共机构节约能源资源“十三五”规划圆满收官。</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工会要把推进生态文明建设和节能减排作为群众性劳动和技能竞赛的重要内容，广泛深入持久开展“当好主力军、聚力新动能、建功新时代”主题劳动和技能竞赛。要围绕推动传播节能理念，组织发动广大职工充分发挥节能减排义务监督员作用，大力宣传和普及节能环保知识、推广有效方法，不断增强职工节约环保意识和节能减排自觉性；要围绕推动绿色生产，推动企业广泛开展小革新、小发明、小改造、小设计、小建议等“五小”竞赛活动，不断加强职工节能减排和环境保护相关技术技能培训，帮助职工提高实现绿色生产的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共青团组织要以《“美丽中国·青春行动”实施方案（2019-2023年）》为统揽，聚焦“三减一节”行动（减霾、减塑、减排、资源节约）开展宣传实践活动。充分发挥相关行业企业、青年环保组织、公益平台机构等作用，面向共青团员、少先队员、青年志愿者等重点群体，研发制作一批有内容、有特色、易传播的生态文化产品，借助互联网平台扩大宣传覆盖面，进一步引导广大青少年深刻理解我国生态文明建设的形势和成效，提高参与节能实践、养成绿色低碳生活方式的行为自觉。</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各级妇联组织要充分发挥妇联系统所属媒体特别是新媒体的作用，开展节能低碳、绿色生活、节俭养德等方面的宣传和教育，从而增强妇女和家庭生态保护、节俭节能、低碳生活的意识。</w:t>
      </w:r>
      <w:r>
        <w:rPr>
          <w:rFonts w:ascii="宋体" w:hAnsi="宋体" w:eastAsia="宋体" w:cs="宋体"/>
          <w:color w:val="000000"/>
          <w:sz w:val="27"/>
          <w:szCs w:val="27"/>
          <w:lang/>
        </w:rPr>
        <w:br w:type="textWrapping"/>
      </w:r>
      <w:r>
        <w:rPr>
          <w:rFonts w:ascii="宋体" w:hAnsi="宋体" w:eastAsia="宋体" w:cs="宋体"/>
          <w:color w:val="000000"/>
          <w:sz w:val="27"/>
          <w:szCs w:val="27"/>
          <w:lang/>
        </w:rPr>
        <w:t>　　军队各级要深入贯彻绿色发展理念，坚持艰苦奋斗、勤俭建军，珍惜和用好宝贵的军费资源，抓好重点领域和重点项目节能降耗，持续开展“八节一压”“红旗车分队、红旗车驾驶员”“红旗船队、红旗船员”评定等活动，开展驻北方地区部队营区清洁取暖改造，既有营房供热计量及节能改造，推进军队生活垃圾分类工作，推行军队统建安置住房执行属地城市绿色建筑、生态建筑理念，优先采购经国家认证的节能产品，积极倡导崇尚节约、绿色低碳的军营新风尚，着力推进军民融合深度发展，不断推动资源节约工作走深走实，提高服务保障部队体系战斗力的贡献率。</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2020年省有关部门节能宣传周期间主要活动安排 </w:t>
      </w:r>
    </w:p>
    <w:tbl>
      <w:tblPr>
        <w:tblStyle w:val="14"/>
        <w:tblW w:w="5000" w:type="pct"/>
        <w:tblInd w:w="49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17"/>
        <w:gridCol w:w="9283"/>
        <w:gridCol w:w="89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0" w:type="auto"/>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序号</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活动内容</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主办单位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1</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统筹推进节能宣传活动。组织召开2020年全省节能宣传周启动会，开展节能宣传调研和节能金点子征集活动。通过召开动员会、播放公益广告、宣传展示、技术交流、知识讲座、互动体验等方式，努力营造节能减排、绿色发展的浓厚舆论氛围。</w:t>
            </w:r>
          </w:p>
        </w:tc>
        <w:tc>
          <w:tcPr>
            <w:tcW w:w="0" w:type="auto"/>
            <w:vMerge w:val="restart"/>
            <w:tcBorders>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2</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委内组织各项活动，以短信、横幅、网站答题等形式落实节能宣传工作。</w:t>
            </w:r>
          </w:p>
        </w:tc>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color w:val="333333"/>
                <w:spacing w:val="0"/>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05"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3</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围绕低碳日宣传主题，组织开展绿色低碳、节能环保理念宣传和学习，普及应对气候变化知识。低碳日当天，倡导生态环境系统干部职工乘坐公共交通工具上下班，除特殊场所外，停开办公区域空调一天，停开公共场所（如走廊、卫生间等）照明一天，停开6层以下电梯等。</w:t>
            </w:r>
          </w:p>
        </w:tc>
        <w:tc>
          <w:tcPr>
            <w:tcW w:w="0" w:type="auto"/>
            <w:vMerge w:val="restart"/>
            <w:tcBorders>
              <w:top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省生态环境厅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4</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节能宣传周期间，在综合办公楼LED大屏滚动播放节能宣传标语及广告片，悬挂宣传幅，鼓励大家将节能理念带进日常工作中，提高节能意识。</w:t>
            </w:r>
          </w:p>
        </w:tc>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color w:val="333333"/>
                <w:spacing w:val="0"/>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5</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充分运用电视、广播、报纸、网络等宣传媒介，加大宣传力度。在微信、微博平台、政府官方网站等普及节能低碳、生态环保和资源循环利用知识，发送节能公益专题信息。</w:t>
            </w:r>
          </w:p>
        </w:tc>
        <w:tc>
          <w:tcPr>
            <w:tcW w:w="0" w:type="auto"/>
            <w:vMerge w:val="continue"/>
            <w:tcBorders>
              <w:top w:val="single" w:color="666666"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6</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办公楼大厅大屏滚动播放节能宣传活动标语。绿色出行节能周停开一部电梯，鼓励倡导五楼以下步梯上下楼。在厅内部网宣传节能周的有关活动。总结宣传周活动，在节能日常的生活化、常态化。</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省教育厅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55"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7</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通过科技厅网站以及科技信息杂志、科技信息报等厅属媒体，对节能低碳科技创新成果和技术应用情况，开展全方位宣传报道。</w:t>
            </w:r>
          </w:p>
        </w:tc>
        <w:tc>
          <w:tcPr>
            <w:tcW w:w="0" w:type="auto"/>
            <w:vMerge w:val="restart"/>
            <w:tcBorders>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省科技厅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8</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面向各大专院校、科研机构和企业征集《山东省水污染防治技术指导目录》，公开发布一批成熟性、先进性、适用性水污染防治技术成果，进一步提高我省节能减排科技创新水平。</w:t>
            </w:r>
          </w:p>
        </w:tc>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i w:val="0"/>
                <w:iCs w:val="0"/>
                <w:caps w:val="0"/>
                <w:color w:val="333333"/>
                <w:spacing w:val="0"/>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95"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9</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总结、凝练和宣传一批节能低碳技术和科技创新示范工程，进一步优化绿色发展、节能减排科技创新软环境，营造崇尚节能低碳、爱护环境和科技引领减排的良好氛围。</w:t>
            </w:r>
          </w:p>
        </w:tc>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i w:val="0"/>
                <w:iCs w:val="0"/>
                <w:caps w:val="0"/>
                <w:color w:val="333333"/>
                <w:spacing w:val="0"/>
                <w:sz w:val="23"/>
                <w:szCs w:val="23"/>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序号</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活动内容</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主办单位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10</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组织召开腾讯视频动员会，动员节能社会服务机构为企业开展节能诊断公益服务活动，组织节能社会服务机构到各市企业开展节能知识宣传和诊断服务活动，免费为企业提供节能诊断报告，帮助企业分析节能用能情况，提升企业能效管理水平。</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省工业和信息化厅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90"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11</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在全省住建领域开展节能宣传活动，通过在机关办公楼悬挂条幅、电子屏展示、展板展示等方式，重点宣传建筑节能与绿色建筑的重要意义，宣传国家和省</w:t>
            </w:r>
            <w:r>
              <w:rPr>
                <w:rFonts w:ascii="宋体" w:hAnsi="宋体" w:eastAsia="宋体" w:cs="宋体"/>
                <w:b w:val="0"/>
                <w:bCs w:val="0"/>
                <w:i w:val="0"/>
                <w:iCs w:val="0"/>
                <w:caps w:val="0"/>
                <w:color w:val="333333"/>
                <w:spacing w:val="0"/>
                <w:sz w:val="23"/>
                <w:szCs w:val="23"/>
                <w:lang/>
              </w:rPr>
              <w:fldChar w:fldCharType="begin"/>
            </w:r>
            <w:r>
              <w:rPr>
                <w:rFonts w:ascii="宋体" w:hAnsi="宋体" w:eastAsia="宋体" w:cs="宋体"/>
                <w:b w:val="0"/>
                <w:bCs w:val="0"/>
                <w:i w:val="0"/>
                <w:iCs w:val="0"/>
                <w:caps w:val="0"/>
                <w:color w:val="333333"/>
                <w:spacing w:val="0"/>
                <w:sz w:val="23"/>
                <w:szCs w:val="23"/>
                <w:lang/>
              </w:rPr>
              <w:instrText xml:space="preserve"> HYPERLINK "https://www.pkulaw.com/chl/8147dcba5aaa6026bdfb.html?way=textSlc" </w:instrText>
            </w:r>
            <w:r>
              <w:rPr>
                <w:rFonts w:ascii="宋体" w:hAnsi="宋体" w:eastAsia="宋体" w:cs="宋体"/>
                <w:b w:val="0"/>
                <w:bCs w:val="0"/>
                <w:i w:val="0"/>
                <w:iCs w:val="0"/>
                <w:caps w:val="0"/>
                <w:color w:val="333333"/>
                <w:spacing w:val="0"/>
                <w:sz w:val="23"/>
                <w:szCs w:val="23"/>
                <w:lang/>
              </w:rPr>
              <w:fldChar w:fldCharType="separate"/>
            </w:r>
            <w:r>
              <w:rPr>
                <w:rStyle w:val="11"/>
                <w:rFonts w:ascii="宋体" w:hAnsi="宋体" w:eastAsia="宋体" w:cs="宋体"/>
                <w:b w:val="0"/>
                <w:bCs w:val="0"/>
                <w:i w:val="0"/>
                <w:iCs w:val="0"/>
                <w:caps w:val="0"/>
                <w:color w:val="218FC4"/>
                <w:spacing w:val="0"/>
                <w:sz w:val="23"/>
                <w:szCs w:val="23"/>
                <w:vertAlign w:val="baseline"/>
                <w:lang/>
              </w:rPr>
              <w:t>民用建筑节能条例</w:t>
            </w:r>
            <w:r>
              <w:rPr>
                <w:rStyle w:val="11"/>
                <w:rFonts w:ascii="宋体" w:hAnsi="宋体" w:eastAsia="宋体" w:cs="宋体"/>
                <w:b w:val="0"/>
                <w:bCs w:val="0"/>
                <w:i w:val="0"/>
                <w:iCs w:val="0"/>
                <w:caps w:val="0"/>
                <w:spacing w:val="0"/>
                <w:sz w:val="23"/>
                <w:szCs w:val="23"/>
                <w:vertAlign w:val="baseline"/>
                <w:lang/>
              </w:rPr>
              <w:fldChar w:fldCharType="end"/>
            </w:r>
            <w:r>
              <w:rPr>
                <w:rFonts w:ascii="宋体" w:hAnsi="宋体" w:eastAsia="宋体" w:cs="宋体"/>
                <w:b w:val="0"/>
                <w:bCs w:val="0"/>
                <w:i w:val="0"/>
                <w:iCs w:val="0"/>
                <w:caps w:val="0"/>
                <w:color w:val="333333"/>
                <w:spacing w:val="0"/>
                <w:sz w:val="23"/>
                <w:szCs w:val="23"/>
                <w:lang/>
              </w:rPr>
              <w:t>、《</w:t>
            </w:r>
            <w:r>
              <w:rPr>
                <w:rFonts w:ascii="宋体" w:hAnsi="宋体" w:eastAsia="宋体" w:cs="宋体"/>
                <w:b w:val="0"/>
                <w:bCs w:val="0"/>
                <w:i w:val="0"/>
                <w:iCs w:val="0"/>
                <w:caps w:val="0"/>
                <w:color w:val="333333"/>
                <w:spacing w:val="0"/>
                <w:sz w:val="23"/>
                <w:szCs w:val="23"/>
                <w:lang/>
              </w:rPr>
              <w:fldChar w:fldCharType="begin"/>
            </w:r>
            <w:r>
              <w:rPr>
                <w:rFonts w:ascii="宋体" w:hAnsi="宋体" w:eastAsia="宋体" w:cs="宋体"/>
                <w:b w:val="0"/>
                <w:bCs w:val="0"/>
                <w:i w:val="0"/>
                <w:iCs w:val="0"/>
                <w:caps w:val="0"/>
                <w:color w:val="333333"/>
                <w:spacing w:val="0"/>
                <w:sz w:val="23"/>
                <w:szCs w:val="23"/>
                <w:lang/>
              </w:rPr>
              <w:instrText xml:space="preserve"> HYPERLINK "https://www.pkulaw.com/lar/28b1e3512c27b1ae159ea098b46d94c9bdfb.html?way=textSlc" </w:instrText>
            </w:r>
            <w:r>
              <w:rPr>
                <w:rFonts w:ascii="宋体" w:hAnsi="宋体" w:eastAsia="宋体" w:cs="宋体"/>
                <w:b w:val="0"/>
                <w:bCs w:val="0"/>
                <w:i w:val="0"/>
                <w:iCs w:val="0"/>
                <w:caps w:val="0"/>
                <w:color w:val="333333"/>
                <w:spacing w:val="0"/>
                <w:sz w:val="23"/>
                <w:szCs w:val="23"/>
                <w:lang/>
              </w:rPr>
              <w:fldChar w:fldCharType="separate"/>
            </w:r>
            <w:r>
              <w:rPr>
                <w:rStyle w:val="11"/>
                <w:rFonts w:ascii="宋体" w:hAnsi="宋体" w:eastAsia="宋体" w:cs="宋体"/>
                <w:b w:val="0"/>
                <w:bCs w:val="0"/>
                <w:i w:val="0"/>
                <w:iCs w:val="0"/>
                <w:caps w:val="0"/>
                <w:color w:val="218FC4"/>
                <w:spacing w:val="0"/>
                <w:sz w:val="23"/>
                <w:szCs w:val="23"/>
                <w:vertAlign w:val="baseline"/>
                <w:lang/>
              </w:rPr>
              <w:t>山东省绿色建筑促进办法</w:t>
            </w:r>
            <w:r>
              <w:rPr>
                <w:rStyle w:val="11"/>
                <w:rFonts w:ascii="宋体" w:hAnsi="宋体" w:eastAsia="宋体" w:cs="宋体"/>
                <w:b w:val="0"/>
                <w:bCs w:val="0"/>
                <w:i w:val="0"/>
                <w:iCs w:val="0"/>
                <w:caps w:val="0"/>
                <w:spacing w:val="0"/>
                <w:sz w:val="23"/>
                <w:szCs w:val="23"/>
                <w:vertAlign w:val="baseline"/>
                <w:lang/>
              </w:rPr>
              <w:fldChar w:fldCharType="end"/>
            </w:r>
            <w:r>
              <w:rPr>
                <w:rFonts w:ascii="宋体" w:hAnsi="宋体" w:eastAsia="宋体" w:cs="宋体"/>
                <w:b w:val="0"/>
                <w:bCs w:val="0"/>
                <w:i w:val="0"/>
                <w:iCs w:val="0"/>
                <w:caps w:val="0"/>
                <w:color w:val="333333"/>
                <w:spacing w:val="0"/>
                <w:sz w:val="23"/>
                <w:szCs w:val="23"/>
                <w:lang/>
              </w:rPr>
              <w:t>》，组织编制《山东省绿色建筑设计规范》《山东省绿色建筑评价标准》，并向社会广泛征求意见。开展超低能耗建筑发展调研，组织公众实地参观被动式超低能耗建筑等建筑节能示范项目。依托“山东建筑节能”等微信公众号、“山东建筑节能与建设科技网”等平台，宣传普及建筑节能、绿色建筑和装配式建筑政策法规、技术产品与相关生活常识，提高社会公众绿色发展意识。</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省住房城乡建设厅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75"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12</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围绕活动主题，以我省绿色交通运输体系建设为重点，利用公交、出租车车载移动电视和交通场站、高速公路电子屏、宣传栏、微信、微博、网站等，宣传活动标语、口号、节能小故事和节能法律法规、先进经验、节能减排技术及成果；开展能源短缺体验活动等活动，提升行业节能减排监管和服务能力，倡导公众绿色出行，营造绿色交通氛围。</w:t>
            </w:r>
          </w:p>
        </w:tc>
        <w:tc>
          <w:tcPr>
            <w:tcW w:w="0" w:type="auto"/>
            <w:tcBorders>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省交通运输厅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5"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13</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结合农业农村部“农村能源安全生产月”活动，开展沼气节能科普宣传等系列活动，切实提高农村能源绿色低碳发展浓厚舆论氛围。</w:t>
            </w:r>
          </w:p>
        </w:tc>
        <w:tc>
          <w:tcPr>
            <w:tcW w:w="0" w:type="auto"/>
            <w:tcBorders>
              <w:top w:val="single" w:color="000000" w:sz="6" w:space="0"/>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省农业农村厅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14</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组织全省商务系统开展节能宣传周和低碳日相关体验活动，在大型商场（超市）开展“绿色商场”示范创建，实施“减塑”倡议行动等主题宣传活动。</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省商务厅</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15</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签订疫情期间不聚集倡议书，利用微信、内网网站弹窗、张贴宣传画宣传手册、更换节能灯等实际行动践行低碳发展。低碳日当天倡导办公室当天不开空调；三层以下不乘电梯；五楼以下停开电梯。节能宣传周期间晚开一小时空调，下班早关一小时空调，倡议机关干部职工当天不开车，鼓励乘坐公共交通工具，骑自行车或步行上下班和办理公务，做绿色出行、环保出行表率。</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省国资委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995"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16</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广播电视主要新闻栏目紧扣宣传主题。通过制作“一带一路”协作节能系列报道，《做客山东台》：我们生活中的节能瞬间，走基层：看绿水青山 品金山银山等节目栏目，及时报道活动进展，挖掘典型经验，推出特色节目，营造浓厚舆论氛围。主要包括：1.在节能宣传周开启之前，结合节能宣传周主题，宣传节能相关的方针政策、法律法规和标准规范。2.关注全省各地举办的志愿者活动，及时报道全省各级公共机构开展的低碳日绿色出行、绿色消费等活动。3.围绕节能宣传周和低碳日相关体验活动，推出体验式报道。4.围绕节能减排的新技术新科技，关注各行业产品和设备推广推介，对典型案例和优秀代表等进行报道等。</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省广电局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序号</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活动内容</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主办单位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15"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17</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齐鲁网、闪电新闻客户端创新宣传形式，宣传生态文明、绿色低碳发展理念和知识，推动生态文明建设。主要包括：1.策划制作全国节能宣传周融媒体专题，及时更新及时更新节能宣传周转载、原创稿件，广泛动员全社会参与节能绿色低碳生活。2.推出节能宣传系列海报，宣传节能主题，在全社会营造节能降碳的浓厚氛围。3.推出系列图解报道。加强服务性，向受众分享节水、节电、绿色出行等方面的小窍门，做好图解的制作和推送工作。4.策划重点优秀案例体验式直播，推广经验，普及知识，做好直播视频碎片化传播，动员全社会广泛参与低碳行动，培育引领低碳新风尚。</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省广电局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15"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18</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在省政府综合楼办公院举办“绿水青山，节能增效”主题展示和咨询服务活动；印发全省公共机构节能宣传周活动通知，开展生活垃圾分类志愿者活动，组织低碳日能源紧缺体验，征集合同能源管理示范案例，张贴节能宣传画、提示标识，发放“厉行节约绿色办公”倡议书和公共机构生活垃圾分类宣传手册；在山东省公共机构节能网站设立节能宣传周专栏；组织参加国管局举办的云直播、云课堂等系列活动。</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省机关事务局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75"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19</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制定关于加强能源节约和资源综合利用的实施方案。</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省能源局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80"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20</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把节能减排工作作为劳动竞赛的一项重要内容，引导职工立足岗位，围绕节能减排广泛开展技术攻关、技术协作和“小发明、小创造、小革新、小设计、小建议”等“五小”竞赛活动，营造节能减排、低碳发展的良好氛围。</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山东省总工会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0"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21</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 xml:space="preserve">设计推出节能减排系列海报，同时在团省委各大新媒体平台发出“节能低碳 青年先行”的倡议，倡导节能减排、绿色出行；依托“小手拉大手”品牌，广泛开展垃圾分类、绿色出行等活动。设计推出节能减排系列海报，同时在团省委各大新媒体平台发出“节能低碳 青年先行”的倡议，倡导节能减排、绿色出行；依托“小手拉大手”品牌，广泛开展垃圾分类、绿色出行等活动。 </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共青团山东省委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65"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22</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在省妇联新媒体平台制作专栏栏目，通过经验推广、创意展示、金点子推介等方式，广泛宣传家庭节能减排意义及相关知识。发动巾帼志愿者带头绿化美化环境，带头践行节能低碳生活方式，推进节能减排知识进社区、进家庭。</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省妇女联合会</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“节能金点子”征集方案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为广集节能智慧，分享节能经验，推动节能低碳，促进生态文明。在2020年全国节能宣传周来临之际，面向社会征集“节能金点子”。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参与人员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本次征集活动面向全社会开展，各类人员、组织均可参与。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征集时间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2020年6月29日至2021年4月30日。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征集内容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（一）工业节能金点子：包括工业节能技术、工艺、产品、管理方法等。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（二）建筑节能金点子：包括建筑节能技术、设计方法、施工方法、管理方法等。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（三）交通运输节能金点子：包括交通运输节能技术、产品，汽车等机具节能驾驶方法等。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（四）公共机构节能金点子：包括公共机构节能技术、管理方法等。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（五）节能管理金点子：包括政府节能管理部门及有关部门履行节能监督管理（包括节能监察）职责的措施、方式等。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（六）生活节能金点子：包括使用家用电器、燃气炉具、照明灯具等的节能方法、节能“小窍门”等。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（七）节能文化金点子：包括承载节能理念、节能方法、节能经验的员工手册、标语口号、简明制度规范等。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征集要求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工业、建筑、交通运输、公共机构节能金点子，应技术上可行、经济上合理、环境和社会可接受，具有明显的节能效果和效益，可借鉴、可复制、可推广。生活节能金点子和节能文化金点子应可借鉴、可复制、可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（二）投稿人应承诺不涉及知识产权纠纷。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（三）投稿人请认真填写“节能金点子征集表”，并发送至邮箱sdjienengjindianzi@163.com。暂不接受纸质投稿。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发布和评奖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（一）征集过程中，符合要求的“节能金点子”，将通过山东省发改委门户网站、“山东发改”微信公众号和官方微博等平台陆续发表。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（二）山东省发展改革委等相关部门将在工作中推广优秀的“金点子”，指导和推动全省节能工作。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（三）2021年节能宣传周期间进行表彰奖励。每个类别设一等奖2名、二等奖5名，三等奖若干名。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节能金点子征集表 </w:t>
      </w:r>
    </w:p>
    <w:tbl>
      <w:tblPr>
        <w:tblStyle w:val="14"/>
        <w:tblW w:w="5000" w:type="pct"/>
        <w:tblInd w:w="494" w:type="dxa"/>
        <w:tblLayout w:type="autofit"/>
        <w:tblCellMar>
          <w:top w:w="0" w:type="dxa"/>
          <w:left w:w="0" w:type="dxa"/>
          <w:bottom w:w="0" w:type="dxa"/>
          <w:right w:w="0" w:type="dxa"/>
        </w:tblCellMar>
      </w:tblPr>
      <w:tblGrid>
        <w:gridCol w:w="3953"/>
        <w:gridCol w:w="287"/>
        <w:gridCol w:w="287"/>
        <w:gridCol w:w="69"/>
        <w:gridCol w:w="63"/>
        <w:gridCol w:w="2414"/>
        <w:gridCol w:w="1270"/>
        <w:gridCol w:w="33"/>
        <w:gridCol w:w="1774"/>
        <w:gridCol w:w="1774"/>
        <w:gridCol w:w="520"/>
      </w:tblGrid>
      <w:tr>
        <w:tblPrEx>
          <w:tblCellMar>
            <w:top w:w="0" w:type="dxa"/>
            <w:left w:w="0" w:type="dxa"/>
            <w:bottom w:w="0" w:type="dxa"/>
            <w:right w:w="0" w:type="dxa"/>
          </w:tblCellMar>
        </w:tblPrEx>
        <w:trPr>
          <w:wBefore w:w="0" w:type="dxa"/>
          <w:trHeight w:val="450" w:hRule="atLeast"/>
        </w:trPr>
        <w:tc>
          <w:tcPr>
            <w:tcW w:w="0" w:type="auto"/>
            <w:gridSpan w:val="11"/>
            <w:tcBorders>
              <w:top w:val="single" w:color="000000" w:sz="6" w:space="0"/>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（一）投稿人信息</w:t>
            </w:r>
          </w:p>
        </w:tc>
      </w:tr>
      <w:tr>
        <w:tblPrEx>
          <w:tblCellMar>
            <w:top w:w="0" w:type="dxa"/>
            <w:left w:w="0" w:type="dxa"/>
            <w:bottom w:w="0" w:type="dxa"/>
            <w:right w:w="0" w:type="dxa"/>
          </w:tblCellMar>
        </w:tblPrEx>
        <w:trPr>
          <w:wBefore w:w="0" w:type="dxa"/>
          <w:trHeight w:val="450" w:hRule="atLeast"/>
        </w:trPr>
        <w:tc>
          <w:tcPr>
            <w:tcW w:w="0" w:type="auto"/>
            <w:gridSpan w:val="2"/>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姓名</w:t>
            </w:r>
          </w:p>
        </w:tc>
        <w:tc>
          <w:tcPr>
            <w:tcW w:w="0" w:type="auto"/>
            <w:gridSpan w:val="4"/>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c>
          <w:tcPr>
            <w:tcW w:w="0" w:type="auto"/>
            <w:gridSpan w:val="3"/>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邮箱</w:t>
            </w:r>
          </w:p>
        </w:tc>
        <w:tc>
          <w:tcPr>
            <w:tcW w:w="0" w:type="auto"/>
            <w:gridSpan w:val="2"/>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r>
      <w:tr>
        <w:tblPrEx>
          <w:tblCellMar>
            <w:top w:w="0" w:type="dxa"/>
            <w:left w:w="0" w:type="dxa"/>
            <w:bottom w:w="0" w:type="dxa"/>
            <w:right w:w="0" w:type="dxa"/>
          </w:tblCellMar>
        </w:tblPrEx>
        <w:trPr>
          <w:wBefore w:w="0" w:type="dxa"/>
          <w:trHeight w:val="450" w:hRule="atLeast"/>
        </w:trPr>
        <w:tc>
          <w:tcPr>
            <w:tcW w:w="0" w:type="auto"/>
            <w:gridSpan w:val="2"/>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手机</w:t>
            </w:r>
          </w:p>
        </w:tc>
        <w:tc>
          <w:tcPr>
            <w:tcW w:w="0" w:type="auto"/>
            <w:gridSpan w:val="4"/>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c>
          <w:tcPr>
            <w:tcW w:w="0" w:type="auto"/>
            <w:gridSpan w:val="3"/>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微信</w:t>
            </w:r>
          </w:p>
        </w:tc>
        <w:tc>
          <w:tcPr>
            <w:tcW w:w="0" w:type="auto"/>
            <w:gridSpan w:val="2"/>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r>
      <w:tr>
        <w:tblPrEx>
          <w:tblCellMar>
            <w:top w:w="0" w:type="dxa"/>
            <w:left w:w="0" w:type="dxa"/>
            <w:bottom w:w="0" w:type="dxa"/>
            <w:right w:w="0" w:type="dxa"/>
          </w:tblCellMar>
        </w:tblPrEx>
        <w:trPr>
          <w:wBefore w:w="0" w:type="dxa"/>
          <w:trHeight w:val="450" w:hRule="atLeast"/>
        </w:trPr>
        <w:tc>
          <w:tcPr>
            <w:tcW w:w="0" w:type="auto"/>
            <w:gridSpan w:val="4"/>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通讯地址（选填）</w:t>
            </w:r>
          </w:p>
        </w:tc>
        <w:tc>
          <w:tcPr>
            <w:tcW w:w="0" w:type="auto"/>
            <w:gridSpan w:val="7"/>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r>
      <w:tr>
        <w:tblPrEx>
          <w:tblCellMar>
            <w:top w:w="0" w:type="dxa"/>
            <w:left w:w="0" w:type="dxa"/>
            <w:bottom w:w="0" w:type="dxa"/>
            <w:right w:w="0" w:type="dxa"/>
          </w:tblCellMar>
        </w:tblPrEx>
        <w:trPr>
          <w:wBefore w:w="0" w:type="dxa"/>
          <w:trHeight w:val="450" w:hRule="atLeast"/>
        </w:trPr>
        <w:tc>
          <w:tcPr>
            <w:tcW w:w="0" w:type="auto"/>
            <w:gridSpan w:val="4"/>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单位名称（选填）</w:t>
            </w:r>
          </w:p>
        </w:tc>
        <w:tc>
          <w:tcPr>
            <w:tcW w:w="0" w:type="auto"/>
            <w:gridSpan w:val="7"/>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r>
      <w:tr>
        <w:tblPrEx>
          <w:tblCellMar>
            <w:top w:w="0" w:type="dxa"/>
            <w:left w:w="0" w:type="dxa"/>
            <w:bottom w:w="0" w:type="dxa"/>
            <w:right w:w="0" w:type="dxa"/>
          </w:tblCellMar>
        </w:tblPrEx>
        <w:trPr>
          <w:wBefore w:w="0" w:type="dxa"/>
          <w:trHeight w:val="450" w:hRule="atLeast"/>
        </w:trPr>
        <w:tc>
          <w:tcPr>
            <w:tcW w:w="0" w:type="auto"/>
            <w:gridSpan w:val="11"/>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（二）类别（在对应空格中划“√”）</w:t>
            </w:r>
          </w:p>
        </w:tc>
      </w:tr>
      <w:tr>
        <w:tblPrEx>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工业节能</w:t>
            </w:r>
          </w:p>
        </w:tc>
        <w:tc>
          <w:tcPr>
            <w:tcW w:w="0" w:type="auto"/>
            <w:gridSpan w:val="2"/>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c>
          <w:tcPr>
            <w:tcW w:w="0" w:type="auto"/>
            <w:gridSpan w:val="3"/>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建筑节能</w:t>
            </w:r>
          </w:p>
        </w:tc>
        <w:tc>
          <w:tcPr>
            <w:tcW w:w="0" w:type="auto"/>
            <w:gridSpan w:val="2"/>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c>
          <w:tcPr>
            <w:tcW w:w="0" w:type="auto"/>
            <w:gridSpan w:val="2"/>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交通运输节能</w:t>
            </w: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r>
      <w:tr>
        <w:tblPrEx>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公共机构节能</w:t>
            </w:r>
          </w:p>
        </w:tc>
        <w:tc>
          <w:tcPr>
            <w:tcW w:w="0" w:type="auto"/>
            <w:gridSpan w:val="2"/>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c>
          <w:tcPr>
            <w:tcW w:w="0" w:type="auto"/>
            <w:gridSpan w:val="3"/>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节能管理</w:t>
            </w:r>
          </w:p>
        </w:tc>
        <w:tc>
          <w:tcPr>
            <w:tcW w:w="0" w:type="auto"/>
            <w:gridSpan w:val="2"/>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c>
          <w:tcPr>
            <w:tcW w:w="0" w:type="auto"/>
            <w:gridSpan w:val="2"/>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节能文化</w:t>
            </w:r>
          </w:p>
        </w:tc>
        <w:tc>
          <w:tcPr>
            <w:tcW w:w="0" w:type="auto"/>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r>
      <w:tr>
        <w:tblPrEx>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生活节能</w:t>
            </w:r>
          </w:p>
        </w:tc>
        <w:tc>
          <w:tcPr>
            <w:tcW w:w="0" w:type="auto"/>
            <w:gridSpan w:val="2"/>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c>
          <w:tcPr>
            <w:tcW w:w="0" w:type="auto"/>
            <w:gridSpan w:val="3"/>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c>
          <w:tcPr>
            <w:tcW w:w="0" w:type="auto"/>
            <w:gridSpan w:val="2"/>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c>
          <w:tcPr>
            <w:tcW w:w="0" w:type="auto"/>
            <w:gridSpan w:val="2"/>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c>
          <w:tcPr>
            <w:tcW w:w="0" w:type="auto"/>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r>
      <w:tr>
        <w:tblPrEx>
          <w:tblCellMar>
            <w:top w:w="0" w:type="dxa"/>
            <w:left w:w="0" w:type="dxa"/>
            <w:bottom w:w="0" w:type="dxa"/>
            <w:right w:w="0" w:type="dxa"/>
          </w:tblCellMar>
        </w:tblPrEx>
        <w:trPr>
          <w:wBefore w:w="0" w:type="dxa"/>
          <w:trHeight w:val="450" w:hRule="atLeast"/>
        </w:trPr>
        <w:tc>
          <w:tcPr>
            <w:tcW w:w="0" w:type="auto"/>
            <w:gridSpan w:val="11"/>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（三）是否原创及应用（在对应空格中划“√”）</w:t>
            </w:r>
          </w:p>
        </w:tc>
      </w:tr>
      <w:tr>
        <w:tblPrEx>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原创</w:t>
            </w:r>
          </w:p>
        </w:tc>
        <w:tc>
          <w:tcPr>
            <w:tcW w:w="0" w:type="auto"/>
            <w:gridSpan w:val="4"/>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c>
          <w:tcPr>
            <w:tcW w:w="0" w:type="auto"/>
            <w:gridSpan w:val="2"/>
            <w:tcBorders>
              <w:bottom w:val="single" w:color="000000" w:sz="6" w:space="0"/>
              <w:right w:val="single" w:color="000000" w:sz="6" w:space="0"/>
            </w:tcBorders>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实际应用</w:t>
            </w:r>
          </w:p>
        </w:tc>
        <w:tc>
          <w:tcPr>
            <w:tcW w:w="0" w:type="auto"/>
            <w:gridSpan w:val="4"/>
            <w:tcBorders>
              <w:bottom w:val="single" w:color="000000" w:sz="6" w:space="0"/>
              <w:right w:val="single" w:color="000000" w:sz="6" w:space="0"/>
            </w:tcBorders>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r>
      <w:tr>
        <w:tblPrEx>
          <w:tblCellMar>
            <w:top w:w="0" w:type="dxa"/>
            <w:left w:w="0" w:type="dxa"/>
            <w:bottom w:w="0" w:type="dxa"/>
            <w:right w:w="0" w:type="dxa"/>
          </w:tblCellMar>
        </w:tblPrEx>
        <w:trPr>
          <w:wBefore w:w="0" w:type="dxa"/>
          <w:trHeight w:val="450" w:hRule="atLeast"/>
        </w:trPr>
        <w:tc>
          <w:tcPr>
            <w:tcW w:w="0" w:type="auto"/>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非原创</w:t>
            </w:r>
          </w:p>
        </w:tc>
        <w:tc>
          <w:tcPr>
            <w:tcW w:w="0" w:type="auto"/>
            <w:gridSpan w:val="4"/>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c>
          <w:tcPr>
            <w:tcW w:w="0" w:type="auto"/>
            <w:gridSpan w:val="2"/>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尚未应用</w:t>
            </w:r>
          </w:p>
        </w:tc>
        <w:tc>
          <w:tcPr>
            <w:tcW w:w="0" w:type="auto"/>
            <w:gridSpan w:val="4"/>
            <w:tcBorders>
              <w:bottom w:val="single" w:color="000000" w:sz="6" w:space="0"/>
              <w:right w:val="single" w:color="000000" w:sz="6" w:space="0"/>
            </w:tcBorders>
            <w:shd w:val="clear" w:color="auto" w:fill="F9F9F9"/>
            <w:noWrap w:val="0"/>
            <w:tcMar>
              <w:top w:w="0" w:type="dxa"/>
              <w:left w:w="110" w:type="dxa"/>
              <w:bottom w:w="0" w:type="dxa"/>
              <w:right w:w="112" w:type="dxa"/>
            </w:tcMar>
            <w:vAlign w:val="center"/>
          </w:tcPr>
          <w:p>
            <w:pPr>
              <w:widowControl/>
              <w:spacing w:line="600" w:lineRule="atLeast"/>
              <w:ind w:firstLine="0"/>
              <w:jc w:val="left"/>
              <w:rPr>
                <w:rFonts w:ascii="Arial" w:hAnsi="Arial" w:eastAsia="Arial" w:cs="Arial"/>
                <w:b w:val="0"/>
                <w:bCs w:val="0"/>
                <w:i w:val="0"/>
                <w:iCs w:val="0"/>
                <w:caps w:val="0"/>
                <w:color w:val="333333"/>
                <w:spacing w:val="0"/>
                <w:sz w:val="23"/>
                <w:szCs w:val="23"/>
                <w:lang/>
              </w:rPr>
            </w:pPr>
          </w:p>
        </w:tc>
      </w:tr>
      <w:tr>
        <w:tblPrEx>
          <w:tblCellMar>
            <w:top w:w="0" w:type="dxa"/>
            <w:left w:w="0" w:type="dxa"/>
            <w:bottom w:w="0" w:type="dxa"/>
            <w:right w:w="0" w:type="dxa"/>
          </w:tblCellMar>
        </w:tblPrEx>
        <w:trPr>
          <w:wBefore w:w="0" w:type="dxa"/>
          <w:trHeight w:val="450" w:hRule="atLeast"/>
        </w:trPr>
        <w:tc>
          <w:tcPr>
            <w:tcW w:w="0" w:type="auto"/>
            <w:gridSpan w:val="11"/>
            <w:tcBorders>
              <w:left w:val="single" w:color="000000" w:sz="6" w:space="0"/>
              <w:bottom w:val="single" w:color="000000" w:sz="6" w:space="0"/>
              <w:right w:val="single" w:color="000000" w:sz="6" w:space="0"/>
            </w:tcBorders>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（四）正文</w:t>
            </w:r>
          </w:p>
        </w:tc>
      </w:tr>
      <w:tr>
        <w:tblPrEx>
          <w:tblCellMar>
            <w:top w:w="0" w:type="dxa"/>
            <w:left w:w="0" w:type="dxa"/>
            <w:bottom w:w="0" w:type="dxa"/>
            <w:right w:w="0" w:type="dxa"/>
          </w:tblCellMar>
        </w:tblPrEx>
        <w:trPr>
          <w:wBefore w:w="0" w:type="dxa"/>
          <w:trHeight w:val="5445" w:hRule="atLeast"/>
        </w:trPr>
        <w:tc>
          <w:tcPr>
            <w:tcW w:w="0" w:type="auto"/>
            <w:gridSpan w:val="11"/>
            <w:tcBorders>
              <w:left w:val="single" w:color="000000" w:sz="6" w:space="0"/>
              <w:bottom w:val="single" w:color="000000" w:sz="6" w:space="0"/>
              <w:right w:val="single" w:color="000000" w:sz="6" w:space="0"/>
            </w:tcBorders>
            <w:shd w:val="clear" w:color="auto" w:fill="F9F9F9"/>
            <w:noWrap w:val="0"/>
            <w:tcMar>
              <w:top w:w="0" w:type="dxa"/>
              <w:left w:w="112" w:type="dxa"/>
              <w:bottom w:w="0" w:type="dxa"/>
              <w:right w:w="112" w:type="dxa"/>
            </w:tcMar>
            <w:vAlign w:val="center"/>
          </w:tcPr>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1.工业、建筑、交通运输、公共机构、节能管理金点子应包括基本原理、主要特点、适用领域、节能效果、经济效益等。</w:t>
            </w:r>
          </w:p>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2.正文不超过2000字，如有详细介绍以及图表、照片等，可附另页。</w:t>
            </w:r>
          </w:p>
          <w:p>
            <w:pPr>
              <w:pStyle w:val="13"/>
              <w:widowControl/>
              <w:pBdr>
                <w:top w:val="none" w:color="auto" w:sz="0" w:space="0"/>
                <w:left w:val="none" w:color="auto" w:sz="0" w:space="0"/>
                <w:bottom w:val="none" w:color="auto" w:sz="0" w:space="0"/>
                <w:right w:val="none" w:color="auto" w:sz="0" w:space="0"/>
              </w:pBdr>
              <w:spacing w:before="150" w:after="150" w:line="450" w:lineRule="atLeast"/>
              <w:ind w:left="0" w:right="0" w:firstLine="0"/>
              <w:jc w:val="left"/>
              <w:textAlignment w:val="baseline"/>
              <w:rPr>
                <w:rFonts w:ascii="宋体" w:hAnsi="宋体" w:eastAsia="宋体" w:cs="宋体"/>
                <w:b w:val="0"/>
                <w:bCs w:val="0"/>
                <w:i w:val="0"/>
                <w:iCs w:val="0"/>
                <w:caps w:val="0"/>
                <w:color w:val="333333"/>
                <w:spacing w:val="0"/>
                <w:sz w:val="23"/>
                <w:szCs w:val="23"/>
                <w:lang/>
              </w:rPr>
            </w:pPr>
            <w:r>
              <w:rPr>
                <w:rFonts w:ascii="宋体" w:hAnsi="宋体" w:eastAsia="宋体" w:cs="宋体"/>
                <w:b w:val="0"/>
                <w:bCs w:val="0"/>
                <w:i w:val="0"/>
                <w:iCs w:val="0"/>
                <w:caps w:val="0"/>
                <w:color w:val="333333"/>
                <w:spacing w:val="0"/>
                <w:sz w:val="23"/>
                <w:szCs w:val="23"/>
                <w:lang/>
              </w:rPr>
              <w:t>3.节能文化金点子不受第1条约束，字数也可长可短甚至可以只是一句话。</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"https://www.pkulaw.com/lar/3e27bf27ab6792529462c73de20d5a25bdfb.html"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https://www.pkulaw.com/lar/3e27bf27ab6792529462c73de20d5a25bdfb.html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【法宝引证码】CLI.14.1612620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20740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2023-01-28T15:05:31Z</dcterms:created>
  <dc:creator>xmintie.</dc:creator>
  <cp:lastModifiedBy>xmintie.</cp:lastModifiedBy>
  <dcterms:modified xsi:type="dcterms:W3CDTF">2023-01-28T15:05:31Z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48B741A984AD412AB666B0152D820B8E</vt:lpwstr>
  </property>
</Properties>
</file>