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225"/>
        <w:ind w:left="375" w:right="375"/>
        <w:textAlignment w:val="baseline"/>
        <w:rPr>
          <w:rFonts w:ascii="Arial" w:hAnsi="Arial" w:eastAsia="Arial" w:cs="Arial"/>
          <w:b/>
          <w:bCs/>
          <w:sz w:val="30"/>
          <w:szCs w:val="30"/>
          <w:lang/>
        </w:rPr>
      </w:pPr>
      <w:bookmarkStart w:id="0" w:name="_GoBack"/>
      <w:bookmarkEnd w:id="0"/>
      <w:r>
        <w:rPr>
          <w:rFonts w:ascii="Arial" w:hAnsi="Arial" w:eastAsia="Arial" w:cs="Arial"/>
          <w:b/>
          <w:bCs/>
          <w:lang/>
        </w:rPr>
        <w:t>山西省生态环境厅、山西省发展和改革委员会、山西省工业和信息化厅关于贯彻落实《关于严格控制第一批氢氟碳化物化工生产建设项目的通知》的通知</w:t>
      </w:r>
    </w:p>
    <w:p>
      <w:pPr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山西省生态环境厅、山西省发展和改革委员会、山西省工业和信息化厅关于贯彻落实《关于严格控制第一批氢氟碳化物化工生产建设项目的通知》的通知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（晋环函〔2022〕136号）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r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各市生态环境局、发展和改革委员会、工业和信息化局：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根据《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fldChar w:fldCharType="begin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instrText xml:space="preserve"> HYPERLINK "https://www.pkulaw.com/chl/5dd8c409d38c6b16bdfb.html?way=textSlc" </w:instrTex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fldChar w:fldCharType="separate"/>
      </w:r>
      <w:r>
        <w:rPr>
          <w:rStyle w:val="11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t>消耗臭氧层物质管理条例</w:t>
      </w:r>
      <w:r>
        <w:rPr>
          <w:rStyle w:val="11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fldChar w:fldCharType="end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》有关规定，为切实履行2021年9月15日对我国生效的《＜关于消耗臭氧层物质的蒙特利尔议定书＞基加利修正案》，生态环境部等三部门联合印发《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fldChar w:fldCharType="begin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instrText xml:space="preserve"> HYPERLINK "https://www.pkulaw.com/chl/e016844bb4077e0ebdfb.html?way=textSlc" </w:instrTex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fldChar w:fldCharType="separate"/>
      </w:r>
      <w:r>
        <w:rPr>
          <w:rStyle w:val="11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t>关于严格控制第一批氢氟碳化物化工生产建设项目的通知</w:t>
      </w:r>
      <w:r>
        <w:rPr>
          <w:rStyle w:val="11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fldChar w:fldCharType="end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》（环办大气〔2021〕29 号），现转发你们，请遵照落实，严格控制辖区内氢氟碳化物（HFCs）化工生产建设项目，加强涉消耗臭氧层物质（ODS）建设项目环境管理，做好日常监管。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附件：《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fldChar w:fldCharType="begin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instrText xml:space="preserve"> HYPERLINK "https://www.pkulaw.com/chl/e016844bb4077e0ebdfb.html?way=textSlc" </w:instrTex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fldChar w:fldCharType="separate"/>
      </w:r>
      <w:r>
        <w:rPr>
          <w:rStyle w:val="11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t>关于严格控制第一批氢氟碳化物化工生产建设项目的通知</w:t>
      </w:r>
      <w:r>
        <w:rPr>
          <w:rStyle w:val="11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fldChar w:fldCharType="end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》（环办大气〔2021〕29号）（略） </w:t>
      </w:r>
    </w:p>
    <w:p>
      <w:pPr>
        <w:pStyle w:val="7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山西省生态环境厅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山西省发展和改革委员会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山西省工业和信息化厅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2022年1月28日</w:t>
      </w:r>
    </w:p>
    <w:p>
      <w:pPr>
        <w:spacing w:after="30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</w:p>
    <w:p>
      <w:pPr>
        <w:spacing w:after="0"/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spacing w:line="630" w:lineRule="atLeast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br w:type="page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©北大法宝：（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www.pkulaw.com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）专业提供法律信息、法学知识和法律软件领域各类解决方案。北大法宝为您提供丰富的参考资料，正式引用法规条文时请与标准文本核对。 欢迎查看所有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"http://www.pkulaw.net/"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产品和服务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。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"http://www.pkulaw.com/helps/69.html"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法宝快讯： 如何快速找到您需要的检索结果？ 法宝 V6 有何新特色？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</w:p>
    <w:p>
      <w:pPr>
        <w:spacing w:before="900"/>
        <w:ind w:left="900" w:right="900"/>
        <w:jc w:val="center"/>
        <w:rPr>
          <w:rFonts w:ascii="Times New Roman" w:hAnsi="Times New Roman" w:eastAsia="Times New Roman" w:cs="Times New Roman"/>
          <w:lang/>
        </w:rPr>
      </w:pPr>
      <w:r>
        <w:rPr>
          <w:rFonts w:ascii="Times New Roman" w:hAnsi="Times New Roman" w:eastAsia="Times New Roman" w:cs="Times New Roman"/>
          <w:strike w:val="0"/>
          <w:u w:val="none"/>
          <w:lang/>
        </w:rPr>
        <w:pict>
          <v:shape id="_x0000_i1026" o:spt="75" type="#_x0000_t75" style="height:192pt;width:192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spacing w:after="900" w:line="630" w:lineRule="atLeast"/>
        <w:ind w:left="900" w:right="900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 xml:space="preserve">扫描二维码阅读原文 </w:t>
      </w:r>
    </w:p>
    <w:p>
      <w:pPr>
        <w:spacing w:line="630" w:lineRule="atLeast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>原文链接：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"https://www.pkulaw.com/lar/d3b14abaf068eb7137a1829c89f281a7bdfb.html"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t xml:space="preserve">https://www.pkulaw.com/lar/d3b14abaf068eb7137a1829c89f281a7bdfb.html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fldChar w:fldCharType="end"/>
      </w:r>
    </w:p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720" w:bottom="144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1575"/>
      <w:gridCol w:w="8981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1530" w:type="dxa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PAGE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/</w: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NUMPAGES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下载日期：2022-11-08</w:t>
          </w:r>
        </w:p>
      </w:tc>
    </w:tr>
  </w:tbl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4851"/>
      <w:gridCol w:w="5705"/>
    </w:tblGrid>
    <w:tr>
      <w:trPr>
        <w:wBefore w:w="0" w:type="dxa"/>
        <w:tblCellSpacing w:w="15" w:type="dxa"/>
      </w:trPr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4"/>
              <w:szCs w:val="24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strike w:val="0"/>
              <w:color w:val="000000"/>
              <w:u w:val="none"/>
              <w:lang/>
            </w:rPr>
            <w:pict>
              <v:shape id="_x0000_i1025" o:spt="75" type="#_x0000_t75" style="height:24pt;width:136.5pt;" filled="f" stroked="f" coordsize="21600,21600">
                <v:path/>
                <v:fill on="f" focussize="0,0"/>
                <v:stroke on="f"/>
                <v:imagedata r:id="rId1" o:title=""/>
                <o:lock v:ext="edit" aspectratio="t"/>
                <w10:wrap type="none"/>
                <w10:anchorlock/>
              </v:shape>
            </w:pict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【法宝引证码】CLI.14.5052300</w:t>
          </w:r>
        </w:p>
      </w:tc>
    </w:tr>
  </w:tbl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B3E"/>
    <w:rsid w:val="00A77B3E"/>
    <w:rsid w:val="00CA2A55"/>
    <w:rsid w:val="792103C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customStyle="1" w:styleId="5">
    <w:name w:val="fulltext-wrap"/>
    <w:basedOn w:val="1"/>
    <w:uiPriority w:val="0"/>
    <w:pPr>
      <w:pBdr>
        <w:top w:val="none" w:color="auto" w:sz="0" w:space="18"/>
        <w:left w:val="none" w:color="auto" w:sz="0" w:space="18"/>
        <w:bottom w:val="none" w:color="auto" w:sz="0" w:space="18"/>
        <w:right w:val="none" w:color="auto" w:sz="0" w:space="18"/>
      </w:pBdr>
    </w:pPr>
  </w:style>
  <w:style w:type="paragraph" w:customStyle="1" w:styleId="6">
    <w:name w:val="fulltext-wrap_title"/>
    <w:basedOn w:val="1"/>
    <w:uiPriority w:val="0"/>
    <w:pPr>
      <w:jc w:val="center"/>
    </w:pPr>
    <w:rPr>
      <w:sz w:val="30"/>
      <w:szCs w:val="30"/>
    </w:rPr>
  </w:style>
  <w:style w:type="paragraph" w:customStyle="1" w:styleId="7">
    <w:name w:val="div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8">
    <w:name w:val="divFullText"/>
    <w:basedOn w:val="1"/>
    <w:uiPriority w:val="0"/>
    <w:pPr>
      <w:spacing w:line="600" w:lineRule="atLeast"/>
    </w:pPr>
    <w:rPr>
      <w:rFonts w:ascii="宋体" w:hAnsi="宋体" w:eastAsia="宋体" w:cs="宋体"/>
      <w:color w:val="000000"/>
      <w:sz w:val="27"/>
      <w:szCs w:val="27"/>
    </w:rPr>
  </w:style>
  <w:style w:type="paragraph" w:customStyle="1" w:styleId="9">
    <w:name w:val="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10">
    <w:name w:val="fulltext-wrap_fulltext_TiaoYinV2"/>
    <w:basedOn w:val="1"/>
    <w:uiPriority w:val="0"/>
    <w:pPr>
      <w:spacing w:line="384" w:lineRule="auto"/>
    </w:pPr>
    <w:rPr>
      <w:b/>
      <w:bCs/>
      <w:color w:val="218FC4"/>
      <w:sz w:val="21"/>
      <w:szCs w:val="21"/>
    </w:rPr>
  </w:style>
  <w:style w:type="character" w:customStyle="1" w:styleId="11">
    <w:name w:val="fulltext-wrap_fulltext_a"/>
    <w:basedOn w:val="4"/>
    <w:uiPriority w:val="0"/>
    <w:rPr>
      <w:color w:val="218FC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2023-01-28T15:13:09Z</dcterms:created>
  <dc:creator>xmintie.</dc:creator>
  <cp:lastModifiedBy>xmintie.</cp:lastModifiedBy>
  <dcterms:modified xsi:type="dcterms:W3CDTF">2023-01-28T15:13:09Z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A545E1C427844E0F842CCBF3DAAE7D32</vt:lpwstr>
  </property>
</Properties>
</file>