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广东省发展改革委关于印发省级碳普惠方法学(第二批)备案清单的通知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广东省发展改革委关于印发省级碳普惠方法学（第二批）备案清单的通知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（粤发改气候函〔2017〕3262号）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广州、韶关、河源、惠州、东莞、中山市发展改革局（委），省碳普惠创新发展中心，广州碳排放权交易所：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"https://www.pkulaw.com/lar/bb93380ba9865b5c12149878eedf5a65bdfb.html?way=textSlc"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广东省发展改革委关于碳普惠制核证减排量管理的暂行办法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》规定，经研究并委托省碳普惠专家委员会评估论证，我委准予《广东省安装分布式光伏发电系统碳普惠方法学》备案。请你们按照《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"https://www.pkulaw.com/lar/bb93380ba9865b5c12149878eedf5a65bdfb.html?way=textSlc"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广东省发展改革委关于碳普惠制核证减排量管理的暂行办法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》规定，做好相关领域碳普惠核证减排项目管理及相关工作，遇到问题请及时向我委或省碳普惠创新发展中心反映。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附件：省级碳普惠方法学（第二批）备案清单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广东省发展改革委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2017年6月23日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省级碳普惠方法学（第二批）备案清单 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34"/>
        <w:gridCol w:w="7496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方法学编号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方法学名称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2017003-V01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广东省安装分布式光伏发电系统</w:t>
            </w:r>
          </w:p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  <w:t>碳普惠方法学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pStyle w:val="12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after="0" w:line="600" w:lineRule="atLeast"/>
              <w:ind w:left="0" w:right="0" w:firstLine="0"/>
              <w:jc w:val="center"/>
              <w:textAlignment w:val="baseline"/>
              <w:rPr>
                <w:rFonts w:ascii="宋体" w:hAnsi="宋体" w:eastAsia="宋体" w:cs="宋体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"https://www.pkulaw.com/lar/beba63353c17b925eb1d26ea54e37fe0bdfb.html"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https://www.pkulaw.com/lar/beba63353c17b925eb1d26ea54e37fe0bdfb.html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【法宝引证码】CLI.14.1291938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26978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paragraph" w:customStyle="1" w:styleId="12">
    <w:name w:val="fulltext-wrap_fulltext_table_p"/>
    <w:basedOn w:val="1"/>
    <w:uiPriority w:val="0"/>
    <w:pPr>
      <w:ind w:firstLine="0"/>
    </w:p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2023-01-28T15:23:53Z</dcterms:created>
  <dc:creator>xmintie.</dc:creator>
  <cp:lastModifiedBy>xmintie.</cp:lastModifiedBy>
  <dcterms:modified xsi:type="dcterms:W3CDTF">2023-01-28T15:23:53Z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AE06334EB2794295BB70F20C23F01487</vt:lpwstr>
  </property>
</Properties>
</file>