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4" w:name="_GoBack"/>
      <w:bookmarkEnd w:id="4"/>
      <w:r>
        <w:rPr>
          <w:rFonts w:ascii="Arial" w:hAnsi="Arial" w:eastAsia="Arial" w:cs="Arial"/>
          <w:b/>
          <w:bCs/>
          <w:lang/>
        </w:rPr>
        <w:t>广东省发展改革委关于2013年度企业碳排放信息报告和核查工作的补充通知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广东省发展改革委关于2013年度企业碳排放信息报告和核查工作的补充通知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（粤发改资环函〔2014〕770号）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各地级以上市发展改革局（委）、顺德区发展规划和统计局，各有关企业：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根据《广东省发展改革委关于开展2013年度企业碳排放信息报告和核查工作的通知》（粤发改资环函〔2014〕573号文）的相关要求，现将有关事项补充通知如下：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 w:clear="none"/>
      </w:r>
      <w:bookmarkStart w:id="0" w:name="tiao_1"/>
      <w:bookmarkEnd w:id="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各市发展改革局（委）开设报告核查系统账户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根据报告核查工作需要，请各市发展改革局加强对碳排放信息报告工作的组织，并明确专人负责。我委将为各市发展改革局（委）在广东省企业碳排放信息报告和核查系统（以下简称报告系统）中开设管理账号，请各市于3月21日前将系统管理员（一名，须为正式在编人员）名单报我委。我委将通过机要通道将系统账户信息邮寄到各市发展改革局（委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（二）请各市发展改革局（委）系统管理员务必做好账户管理工作，按规定对企业填报的碳排放资料、数据等进行严格保密，未经许可，不得擅自对外发布和提供。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2013年度碳排放量计算的排放因子取值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2013年企业碳排放量仍按2012年历史碳盘查时的排放因子计算。2014年起配额发放和碳排放量计算统一采用最新发布的《广东省企业碳排放信息报告指南（试行）》。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组织核查方式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2013年度企业碳排放核查工作由我委统一组织安排。核查机构由我委按照相关程序统一委托。核查费用由省财政专项资金承担。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3" w:name="tiao_4"/>
      <w:bookmarkEnd w:id="3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四、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配额有偿收入资金使用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省政府领导批示精神，我省将设立省碳排放管理专项资金，对碳排放配额有偿收入进行专项管理。省碳排放管理专项资金主要使用方向为：优先支持已经完成报告、核查和配额清缴工作的控排企业节能减碳项目建设；支持节能减碳重大公共设施建设、节能减碳重大示范项目建设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请各市发展改革局（委）将粤发改资环函〔2014〕573号文和本通知传达至本市有关企业，按要求做好相关组织与管理工作。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附件：各市碳排放信息报告和核查系统管理员报名表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广东省发展改革委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2014年3月18日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附件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各市碳排放信息报告和核查系统管理员报名表 </w:t>
      </w:r>
    </w:p>
    <w:tbl>
      <w:tblPr>
        <w:tblStyle w:val="13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557"/>
        <w:gridCol w:w="1073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</w:trPr>
        <w:tc>
          <w:tcPr>
            <w:tcW w:w="0" w:type="auto"/>
            <w:gridSpan w:val="2"/>
            <w:tcBorders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单位：</w:t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u w:val="single" w:color="000000"/>
                <w:lang/>
              </w:rPr>
              <w:t xml:space="preserve"> </w:t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发展改革局（委）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填报日期：</w:t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u w:val="single" w:color="000000"/>
                <w:lang/>
              </w:rPr>
              <w:t xml:space="preserve"> 年 月 日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姓名：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处室：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传真：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办公电话：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手机：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电子邮箱：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</w:tbl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（请填妥表格后于3月21日前传真至：020-83138699）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"https://www.pkulaw.com/lar/d1dc7ee6ccf4a022cbefdfa6137ccf9ebdfb.html"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https://www.pkulaw.com/lar/d1dc7ee6ccf4a022cbefdfa6137ccf9ebdfb.html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945"/>
      <w:gridCol w:w="5611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【法宝引证码】CLI.14.833566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2EBE58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  <w:style w:type="paragraph" w:customStyle="1" w:styleId="12">
    <w:name w:val="fulltext-wrap_fulltext_table_p"/>
    <w:basedOn w:val="1"/>
    <w:uiPriority w:val="0"/>
    <w:pPr>
      <w:ind w:firstLine="0"/>
    </w:pPr>
  </w:style>
  <w:style w:type="table" w:customStyle="1" w:styleId="13">
    <w:name w:val="fulltext-wrap_fulltext_table_c_tb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2023-01-28T15:23:16Z</dcterms:created>
  <dc:creator>xmintie.</dc:creator>
  <cp:lastModifiedBy>xmintie.</cp:lastModifiedBy>
  <dcterms:modified xsi:type="dcterms:W3CDTF">2023-01-28T15:23:16Z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8415E6D519C64CEA9780788BF7FD4921</vt:lpwstr>
  </property>
</Properties>
</file>