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3" w:name="_GoBack"/>
      <w:bookmarkEnd w:id="3"/>
      <w:r>
        <w:rPr>
          <w:rFonts w:ascii="Arial" w:hAnsi="Arial" w:eastAsia="Arial" w:cs="Arial"/>
          <w:b/>
          <w:bCs/>
          <w:lang/>
        </w:rPr>
        <w:t>广西壮族自治区生态环境厅办公室关于做好2021年度碳排放报告工作的通知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广西壮族自治区生态环境厅办公室关于做好2021年度碳排放报告工作的通知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（桂环办函〔2022〕54号）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各市生态环境局：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根据《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"https://www.pkulaw.com/chl/986f6a900023f261bdfb.html?way=textSlc"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碳排放权交易管理办法（试行）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》规定，为做好我区2021年度碳排放报告工作，现将有关事项通知如下。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bookmarkStart w:id="0" w:name="tiao_1"/>
      <w:bookmarkEnd w:id="0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一、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工作范围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工作范围为发电、石化、化工、建材、钢铁、有色、造纸等重点排放行业（具体行业子类见附件1）的2021年温室气体排放量达2.6万吨二氧化碳当量（综合能源消费量约1万吨标准煤）及以上的企业或其他经济组织（以下简称重点排放单位）。其中，发电行业的工作范围应包括《纳入2019—2020年全国碳排放权交易配额管理的重点排放单位名单》确定的重点排放单位以及2021年新增的重点排放单位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二、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工作任务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（一）确定名单。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1.已开展2020年度碳排放报告工作的重点排放单位（附件2），继续开展2021年度碳排放报告工作。因故不能开展2021年度碳排放报告工作的重点排放单位，需提供证明材料。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2.根据工作范围，主动商统计、工业和信息化等部门提出本辖区2021年度新增重点排放单位名单。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上述名单请于2022年2月28日前将报送我厅。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（二）组织填报。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请于2022年3月31日前组织本辖区符合条件的重点排放单位通过全国环境信息平台（网址为http：//permit.mee.gov.cn）完成2021年度温室气体排放情况、有关生产数据及支撑材料等的线上填报工作。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（三）组织核查。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我厅将根据国家部署适时组织核查。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2" w:name="tiao_3"/>
      <w:bookmarkEnd w:id="2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三、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其他事项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请各市生态环境局确定负责此项工作的联络人员，并于2022年2月18日前将人员名单反馈我厅。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联系人及电话：陆仕就，0771-5713485；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陈丹钰，0771-5719406。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电子邮箱：qhc@sthjt.gxzf.gov.cn。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"https://resources.pkulaw.cn/staticfiles/fagui/20220223/10/50/0/ff763716a584eb6b85fe62745930c34e.doc"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附件：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1.覆盖行业及代码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2.广西2020年度重点排放单位名单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3.联络人员信息表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广西壮族自治区生态环境厅办公室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2022年2月8日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"https://www.pkulaw.com/lar/e5beff979cd271008c0aabcaf418de48bdfb.html"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https://www.pkulaw.com/lar/e5beff979cd271008c0aabcaf418de48bdfb.html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【法宝引证码】CLI.14.4893384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5ADB126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  <w:style w:type="character" w:customStyle="1" w:styleId="12">
    <w:name w:val="fulltext-wrap_navtiao"/>
    <w:basedOn w:val="4"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2023-01-28T15:38:50Z</dcterms:created>
  <dc:creator>xmintie.</dc:creator>
  <cp:lastModifiedBy>xmintie.</cp:lastModifiedBy>
  <dcterms:modified xsi:type="dcterms:W3CDTF">2023-01-28T15:38:50Z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114981183EE84D96B7B90B7EBDA19AFC</vt:lpwstr>
  </property>
</Properties>
</file>