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那坡县人民政府办公室关于印发那坡县2018年预防非职业性一氧化碳中毒专项整治行动实施方案的通知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那坡县人民政府办公室关于印发那坡县2018年预防非职业性一氧化碳中毒专项整治行动实施方案的通知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《那坡县2018年预防非职业性一氧化碳中毒专项整治行动实施方案》已经县人民政府同意，现印发给你们，请认真贯彻执行。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那坡县人民政府办公室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2018年7月23日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那坡县2018年预防非职业性一氧化碳中毒</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专项整治行动实施方案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政府办公厅印发的《2018年全区预防非职业性一氧化碳中毒专项整治行动方案》（桂政办电〔2018〕62号）及自治区住房城乡建设厅《关于印发2018年全区住房城乡建设系统预防非职业性一氧化碳中毒专项整治行动方案的通知》（桂建城〔2018〕17号）要求，为有效预防非职业性一氧化碳中毒事故的发生，切实保障广大人民群众的生命财产安全，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县人民政府的领导下，充分发挥那坡县预防非职业性一氧化碳中毒工作联席会议（以下简称“联席会议"）作用，会同县市政局、县安监局、县应急办、县经贸局、县教育局、县公安局、县民政局、县财政局、县环保局、县住建局、县商务局、县文广局、县卫计局、县旅游局、县工商局、县质监局、县气象局、县公安消防大队、团县委、县科协、各乡（镇）人民政府等相关部门，通过建立健全机制、开展宣传教育、开展入户检查和隐患整改、整顿燃气经营市场等措施，实现对燃气用户的宣传、安全检查覆盖率达100%，力争实现2018年我县今冬明春不发生因使用燃气造成的非职业性一氧化碳中毒群死群伤事故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（一）完善联动机制，建立健全工作制度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1.成立联席会议。2018年7月中旬前，建立联席会议制度，明确各部门职责分工，加强沟通配合，形成合力，共同开展预防非职业性一氧化碳中毒工作，建立预防非职业性一氧化碳中毒工作长效机制。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工作月报机制。自2018年7月起，联席会议相关部门要于每月28日前将本月工作开展情况（报告模板详见附件2）上报县市政局。每月30日前由县市政局将本县及所辖乡（镇）本月工作开展情况上报至百色市市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投诉举报制度。燃气主管部门要按照《广西燃气管理条例》第三十四条规定，建立燃气安全相关投诉和举报制度，并公开投诉举报电话。对接到的投诉举报信息，要认真调查核实，一经查实，要进行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约谈机制。县市政局、县安监局要定期约谈中毒事故多发的燃气企业，分析事故多发原因和存在的问题，督促加强整改工作。县市政局将定期约谈中毒事故多发和相关工作进展较慢的乡（镇），并定期将相关情况上报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5.完善应急预案。联席会议要及时编制、修订本县燃气安全应急预案，并2018年7月底将相关预案报送百色市市政管理局。各乡（镇）人民政府要根据本乡（镇）实际，做好安全应急预案。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（二）开展行业调查摸底，建立统计分析和倒查机制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行业摸底调查。燃气主管部门要组织辖区内的燃气企业，立即对供应区域内的燃气种类、居民用户数量、存在安全隐患的用户数量等进行摸底调查和统计，及时建立台账（模板详见附件4），于2018年8月底前报送百色市市政管理局（含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统计分析机制。燃气主管部门要加强与县安监局、县应急办、县卫计局、县公安消防大队等部门的沟通联系，及时获取中毒事故准确信息，核对相关数据（详见附件1），并于每周三前将相关数据报送县联席会议办公室。县市政局组织有关部门对发生事故的区域、人员信息、房屋情况等进行分析，查找事故发生原因，并定期向县联席会议通报分析结果，督促相关责任单位针对事故成因加强整治排查。事故原因分析及排查处置结果同时抄送百色市市政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事故责任倒查。燃气主管部门要组织开展2017年末和2018年以来非职业性一氧化碳中毒事故分析倒查工作，对于发现存在明显过失的单位或个人，要督促有关职能部门依法采取行政手段进行责任追究和处罚；对于履职不力的管理部门和工作人员，要依法依规进行责任追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（三）广泛开展宣传教育，提高广大群众安全使用燃气意识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安全用气知识面对面宣传。各燃气企业要结合实际，利用办理业务及入户检查、圩日等机会，利用板报、横幅、宣传手册等向广大用户普及安全使用燃气知识，2018年内要实现用户宣传覆盖率达100%。对于宣传检查中发现存在用气安全隐患的住户（如房屋户型小、通风不畅；使用淘汰的、不合格的燃气器具；燃气器具安装在浴室、卫生间等狭小密闭空间；留守儿童、孤寡老人等），要建立专门台账并定期报告当地燃气主管部门。燃气主管部门要督促燃气企业做好相关宣传教育和台账建立工作，并定期进行抽查，确保每家每户宣传到位，同时将存在用气安全隐患的用户信息报送各乡（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大媒体宣传力度。燃气主管部门和燃气企业要积极通过当地广播、电视、报纸、网站、微信等媒体，多渠道宣传预防非职业性一氧化碳中毒相关知识，引起社会的广泛关注，不断提高广大人民群众的安全使用燃气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1.履行安全检查主体职责。燃气企业要按照《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广西燃气管理条例》等相关法规规定，严格履行对用户燃气设施进行安全检查的法定职责，2018年内入户安全检查覆盖率必须达到100%。对于检查中发现存在用气安全隐患的，要认真记录存档，及时告知用户（如张贴提示单、递送整改通知等）并督促用户进行整改；对于拒绝入户检查和拒不整改的，应通知各乡（镇）、当地物业服务机构或社区有关部门，采取有效措施开展检查督促；对于发现存在非法供气、用气现象的，要立即责令相关人员停止供气、用气，做好拍照、摄像等记录并立即报告燃气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督促检查。燃气主管部门要定期对燃气企业开展入户宣传和安全检查情况进行督查，督促燃气企业切实落实安全主体责任。对弄虚作假或不履行职责的单位和个人，要坚决按照有关法规要求进行严肃处理。（2018年7月、10月分别开展一次集中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安全隐患整改工作。燃气主管部门要组织燃气企业开展居民燃气使用安全隐患整改工作。对于存在使用不合格燃气热水器、灶具或器具安装位置不当、不安装排烟管道等安全隐患的，要积极联系有资质的燃气器具生产、安装企业，为用户进行简便、免费或收费较低的燃气器具整改服务（如改装、加装排烟管道等）。（2018年9月底前完成该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（五）整顿燃气经营市场，打击非法经营行为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1.打击非法经营活动。燃气主管部门要联合县公安消防大队、县质监局、县安监局等部门，根据《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》等相关法规规定，共同开展打击非法存储、充装、运输、经营燃气专项整治行动，取缔非法经营燃气网点，严惩非法经营者。（2018年7月、10月分别开展一次专项整治行动）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健全监测预警平台。燃气主管部门要尽快建立燃气监测预警平台并实现与自治区、市级、县级监测平台互联互通，利用技术手段对燃气企业和燃气设施进行实时监控，提高监控效率，对瓶装燃气的流通实施管控。要督促燃气企业尽快按照《液化石油气供应工程设计规范》（GB51142-2015）要求，建立健全液化气钢瓶使用溯源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充分发挥燃气企业法律主体和技术支撑作用。燃气企业是保障燃气用户用气安全的责任主体，要认真落实主体责任，组织、调动企业力量入户入村开展宣传和检查，确保不漏一户。燃气主管部门要指导和督促燃气企业开展安全用气知识宣传，将宣传工作融入燃气经营活动中，帮助群众学习了解相关知识，积极带头和发动群众排查安全隐患，认真做好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涉及多个主管部门，需要各方参与共同完成。牵头部门要勇于担责、善于协调，在县人民政府的统一领导和协调指挥下，整合、调动各方力量参与各项工作，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（三）建立绩效考评机制。将预防非职业性一氧化碳中毒工作纳入各部门年度绩效考评范围，科学、合理设置考评指标，推动有关部门落实责任、真抓实干，确保工作取得实效。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（四）积极争取财政支持。燃气主管部门要针对此次开展工作做出资金预算，并向县人民政府申请专项资金，确保预防非职业性一氧化碳中毒各项工作顺利开展。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（五）及时统计汇报。联系会议办公室要及时汇总联席单位上报的相关数据、总结工作成效，认真组织填写周报、月报（详见附件1、附件2、附件3），并按期报送县联席会议办公室。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电子邮箱：npxszj@163.com，联系电话：6821226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1.那坡县非职业性一氧化碳中毒事故信息统计表（周报表X月X日—X日）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2.那坡县联席会议工作情况月度报表（2018年__月）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3.那坡县联席会议成员单位预防非职业性一氧化碳中毒工作情况统计表（2018年__月）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4.那坡县燃气企业及用户情况调查摸底情况表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那坡县非职业性一氧化碳中毒事故信息统计表（周报表X月X日—X日）</w:t>
      </w:r>
    </w:p>
    <w:tbl>
      <w:tblPr>
        <w:tblStyle w:val="14"/>
        <w:tblW w:w="5000" w:type="pct"/>
        <w:tblInd w:w="485" w:type="dxa"/>
        <w:tblLayout w:type="autofit"/>
        <w:tblCellMar>
          <w:top w:w="0" w:type="dxa"/>
          <w:left w:w="0" w:type="dxa"/>
          <w:bottom w:w="0" w:type="dxa"/>
          <w:right w:w="0" w:type="dxa"/>
        </w:tblCellMar>
      </w:tblPr>
      <w:tblGrid>
        <w:gridCol w:w="490"/>
        <w:gridCol w:w="760"/>
        <w:gridCol w:w="1030"/>
        <w:gridCol w:w="1030"/>
        <w:gridCol w:w="1030"/>
        <w:gridCol w:w="1030"/>
        <w:gridCol w:w="625"/>
        <w:gridCol w:w="895"/>
        <w:gridCol w:w="1165"/>
        <w:gridCol w:w="875"/>
        <w:gridCol w:w="490"/>
        <w:gridCol w:w="760"/>
        <w:gridCol w:w="760"/>
        <w:gridCol w:w="1570"/>
        <w:gridCol w:w="1030"/>
        <w:gridCol w:w="895"/>
        <w:gridCol w:w="1435"/>
        <w:gridCol w:w="490"/>
      </w:tblGrid>
      <w:tr>
        <w:tblPrEx>
          <w:tblCellMar>
            <w:top w:w="0" w:type="dxa"/>
            <w:left w:w="0" w:type="dxa"/>
            <w:bottom w:w="0" w:type="dxa"/>
            <w:right w:w="0" w:type="dxa"/>
          </w:tblCellMar>
        </w:tblPrEx>
        <w:trPr>
          <w:wBefore w:w="0" w:type="dxa"/>
          <w:trHeight w:val="480" w:hRule="atLeast"/>
        </w:trPr>
        <w:tc>
          <w:tcPr>
            <w:tcW w:w="15280" w:type="dxa"/>
            <w:gridSpan w:val="18"/>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那坡县非职业性一氧化碳中毒事故信息统计表（周报表X</w:t>
            </w:r>
            <w:r>
              <w:rPr>
                <w:rStyle w:val="13"/>
                <w:rFonts w:ascii="方正小标宋简体" w:hAnsi="方正小标宋简体" w:eastAsia="方正小标宋简体" w:cs="方正小标宋简体"/>
                <w:b w:val="0"/>
                <w:bCs w:val="0"/>
                <w:color w:val="000000"/>
                <w:sz w:val="27"/>
                <w:szCs w:val="27"/>
                <w:vertAlign w:val="baseline"/>
                <w:lang/>
              </w:rPr>
              <w:t>月</w:t>
            </w:r>
            <w:r>
              <w:rPr>
                <w:rStyle w:val="13"/>
                <w:rFonts w:ascii="宋体" w:hAnsi="宋体" w:eastAsia="宋体" w:cs="宋体"/>
                <w:b w:val="0"/>
                <w:bCs w:val="0"/>
                <w:color w:val="000000"/>
                <w:sz w:val="27"/>
                <w:szCs w:val="27"/>
                <w:vertAlign w:val="baseline"/>
                <w:lang/>
              </w:rPr>
              <w:t>X</w:t>
            </w:r>
            <w:r>
              <w:rPr>
                <w:rStyle w:val="13"/>
                <w:rFonts w:ascii="方正小标宋简体" w:hAnsi="方正小标宋简体" w:eastAsia="方正小标宋简体" w:cs="方正小标宋简体"/>
                <w:b w:val="0"/>
                <w:bCs w:val="0"/>
                <w:color w:val="000000"/>
                <w:sz w:val="27"/>
                <w:szCs w:val="27"/>
                <w:vertAlign w:val="baseline"/>
                <w:lang/>
              </w:rPr>
              <w:t>日</w:t>
            </w:r>
            <w:r>
              <w:rPr>
                <w:rStyle w:val="13"/>
                <w:rFonts w:ascii="宋体" w:hAnsi="宋体" w:eastAsia="宋体" w:cs="宋体"/>
                <w:b w:val="0"/>
                <w:bCs w:val="0"/>
                <w:color w:val="000000"/>
                <w:sz w:val="27"/>
                <w:szCs w:val="27"/>
                <w:vertAlign w:val="baseline"/>
                <w:lang/>
              </w:rPr>
              <w:t>—X</w:t>
            </w:r>
            <w:r>
              <w:rPr>
                <w:rStyle w:val="13"/>
                <w:rFonts w:ascii="方正小标宋简体" w:hAnsi="方正小标宋简体" w:eastAsia="方正小标宋简体" w:cs="方正小标宋简体"/>
                <w:b w:val="0"/>
                <w:bCs w:val="0"/>
                <w:color w:val="000000"/>
                <w:sz w:val="27"/>
                <w:szCs w:val="27"/>
                <w:vertAlign w:val="baseline"/>
                <w:lang/>
              </w:rPr>
              <w:t>日）</w:t>
            </w:r>
          </w:p>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填报单位（盖章）： 联系人： 联系电话：</w:t>
            </w:r>
          </w:p>
        </w:tc>
      </w:tr>
      <w:tr>
        <w:tblPrEx>
          <w:tblCellMar>
            <w:top w:w="0" w:type="dxa"/>
            <w:left w:w="0" w:type="dxa"/>
            <w:bottom w:w="0" w:type="dxa"/>
            <w:right w:w="0" w:type="dxa"/>
          </w:tblCellMar>
        </w:tblPrEx>
        <w:trPr>
          <w:wBefore w:w="0" w:type="dxa"/>
          <w:trHeight w:val="480" w:hRule="atLeast"/>
        </w:trPr>
        <w:tc>
          <w:tcPr>
            <w:tcW w:w="640"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序</w:t>
            </w:r>
          </w:p>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号</w:t>
            </w:r>
          </w:p>
        </w:tc>
        <w:tc>
          <w:tcPr>
            <w:tcW w:w="925"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发生</w:t>
            </w:r>
          </w:p>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时间 （月/</w:t>
            </w:r>
            <w:r>
              <w:rPr>
                <w:rStyle w:val="13"/>
                <w:rFonts w:ascii="方正黑体_GBK" w:hAnsi="方正黑体_GBK" w:eastAsia="方正黑体_GBK" w:cs="方正黑体_GBK"/>
                <w:b w:val="0"/>
                <w:bCs w:val="0"/>
                <w:color w:val="000000"/>
                <w:sz w:val="27"/>
                <w:szCs w:val="27"/>
                <w:vertAlign w:val="baseline"/>
                <w:lang/>
              </w:rPr>
              <w:t>日</w:t>
            </w:r>
            <w:r>
              <w:rPr>
                <w:rStyle w:val="13"/>
                <w:rFonts w:ascii="宋体" w:hAnsi="宋体" w:eastAsia="宋体" w:cs="宋体"/>
                <w:b w:val="0"/>
                <w:bCs w:val="0"/>
                <w:color w:val="000000"/>
                <w:sz w:val="27"/>
                <w:szCs w:val="27"/>
                <w:vertAlign w:val="baseline"/>
                <w:lang/>
              </w:rPr>
              <w:t>/</w:t>
            </w:r>
            <w:r>
              <w:rPr>
                <w:rStyle w:val="13"/>
                <w:rFonts w:ascii="方正黑体_GBK" w:hAnsi="方正黑体_GBK" w:eastAsia="方正黑体_GBK" w:cs="方正黑体_GBK"/>
                <w:b w:val="0"/>
                <w:bCs w:val="0"/>
                <w:color w:val="000000"/>
                <w:sz w:val="27"/>
                <w:szCs w:val="27"/>
                <w:vertAlign w:val="baseline"/>
                <w:lang/>
              </w:rPr>
              <w:t>小时</w:t>
            </w:r>
            <w:r>
              <w:rPr>
                <w:rStyle w:val="13"/>
                <w:rFonts w:ascii="宋体" w:hAnsi="宋体" w:eastAsia="宋体" w:cs="宋体"/>
                <w:b w:val="0"/>
                <w:bCs w:val="0"/>
                <w:color w:val="000000"/>
                <w:sz w:val="27"/>
                <w:szCs w:val="27"/>
                <w:vertAlign w:val="baseline"/>
                <w:lang/>
              </w:rPr>
              <w:t>/</w:t>
            </w:r>
            <w:r>
              <w:rPr>
                <w:rStyle w:val="13"/>
                <w:rFonts w:ascii="方正黑体_GBK" w:hAnsi="方正黑体_GBK" w:eastAsia="方正黑体_GBK" w:cs="方正黑体_GBK"/>
                <w:b w:val="0"/>
                <w:bCs w:val="0"/>
                <w:color w:val="000000"/>
                <w:sz w:val="27"/>
                <w:szCs w:val="27"/>
                <w:vertAlign w:val="baseline"/>
                <w:lang/>
              </w:rPr>
              <w:t>分）</w:t>
            </w:r>
          </w:p>
        </w:tc>
        <w:tc>
          <w:tcPr>
            <w:tcW w:w="1210"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事件 发生地</w:t>
            </w:r>
          </w:p>
        </w:tc>
        <w:tc>
          <w:tcPr>
            <w:tcW w:w="790"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中毒人数</w:t>
            </w:r>
          </w:p>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（人）</w:t>
            </w:r>
          </w:p>
        </w:tc>
        <w:tc>
          <w:tcPr>
            <w:tcW w:w="790"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入院治疗人数</w:t>
            </w:r>
          </w:p>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（人）</w:t>
            </w:r>
          </w:p>
        </w:tc>
        <w:tc>
          <w:tcPr>
            <w:tcW w:w="790"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死亡人数</w:t>
            </w:r>
          </w:p>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（人）</w:t>
            </w:r>
          </w:p>
        </w:tc>
        <w:tc>
          <w:tcPr>
            <w:tcW w:w="2350" w:type="dxa"/>
            <w:gridSpan w:val="2"/>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中毒人员</w:t>
            </w:r>
          </w:p>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 xml:space="preserve">身份信息 </w:t>
            </w:r>
          </w:p>
        </w:tc>
        <w:tc>
          <w:tcPr>
            <w:tcW w:w="925"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中毒人员年龄</w:t>
            </w:r>
          </w:p>
        </w:tc>
        <w:tc>
          <w:tcPr>
            <w:tcW w:w="1075"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中毒人员所处位置</w:t>
            </w:r>
          </w:p>
        </w:tc>
        <w:tc>
          <w:tcPr>
            <w:tcW w:w="1120"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房屋性质</w:t>
            </w:r>
          </w:p>
        </w:tc>
        <w:tc>
          <w:tcPr>
            <w:tcW w:w="1285" w:type="dxa"/>
            <w:vMerge w:val="restart"/>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一氧化碳 来源初判</w:t>
            </w:r>
          </w:p>
        </w:tc>
        <w:tc>
          <w:tcPr>
            <w:tcW w:w="5395" w:type="dxa"/>
            <w:gridSpan w:val="5"/>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一氧化碳来源初步判断与燃气燃烧有关时填报</w:t>
            </w:r>
          </w:p>
        </w:tc>
        <w:tc>
          <w:tcPr>
            <w:tcW w:w="64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备注</w:t>
            </w:r>
          </w:p>
        </w:tc>
      </w:tr>
      <w:tr>
        <w:tblPrEx>
          <w:tblCellMar>
            <w:top w:w="0" w:type="dxa"/>
            <w:left w:w="0" w:type="dxa"/>
            <w:bottom w:w="0" w:type="dxa"/>
            <w:right w:w="0" w:type="dxa"/>
          </w:tblCellMar>
        </w:tblPrEx>
        <w:trPr>
          <w:wBefore w:w="0" w:type="dxa"/>
          <w:trHeight w:val="720" w:hRule="atLeast"/>
        </w:trPr>
        <w:tc>
          <w:tcPr>
            <w:tcW w:w="0" w:type="auto"/>
            <w:vMerge w:val="continue"/>
            <w:noWrap w:val="0"/>
            <w:vAlign w:val="center"/>
          </w:tcPr>
          <w:p>
            <w:pPr>
              <w:rPr>
                <w:rStyle w:val="13"/>
                <w:rFonts w:ascii="宋体" w:hAnsi="宋体" w:eastAsia="宋体" w:cs="宋体"/>
                <w:b w:val="0"/>
                <w:bCs w:val="0"/>
                <w:color w:val="000000"/>
                <w:sz w:val="27"/>
                <w:szCs w:val="27"/>
                <w:vertAlign w:val="baseline"/>
                <w:lang/>
              </w:rPr>
            </w:pPr>
          </w:p>
        </w:tc>
        <w:tc>
          <w:tcPr>
            <w:tcW w:w="0" w:type="auto"/>
            <w:vMerge w:val="continue"/>
            <w:noWrap w:val="0"/>
            <w:vAlign w:val="center"/>
          </w:tcPr>
          <w:p>
            <w:pPr>
              <w:rPr>
                <w:rStyle w:val="13"/>
                <w:rFonts w:ascii="宋体" w:hAnsi="宋体" w:eastAsia="宋体" w:cs="宋体"/>
                <w:b w:val="0"/>
                <w:bCs w:val="0"/>
                <w:color w:val="000000"/>
                <w:sz w:val="27"/>
                <w:szCs w:val="27"/>
                <w:vertAlign w:val="baseline"/>
                <w:lang/>
              </w:rPr>
            </w:pPr>
          </w:p>
        </w:tc>
        <w:tc>
          <w:tcPr>
            <w:tcW w:w="0" w:type="auto"/>
            <w:vMerge w:val="continue"/>
            <w:noWrap w:val="0"/>
            <w:vAlign w:val="center"/>
          </w:tcPr>
          <w:p>
            <w:pPr>
              <w:rPr>
                <w:rStyle w:val="13"/>
                <w:rFonts w:ascii="宋体" w:hAnsi="宋体" w:eastAsia="宋体" w:cs="宋体"/>
                <w:b w:val="0"/>
                <w:bCs w:val="0"/>
                <w:color w:val="000000"/>
                <w:sz w:val="27"/>
                <w:szCs w:val="27"/>
                <w:vertAlign w:val="baseline"/>
                <w:lang/>
              </w:rPr>
            </w:pPr>
          </w:p>
        </w:tc>
        <w:tc>
          <w:tcPr>
            <w:tcW w:w="0" w:type="auto"/>
            <w:vMerge w:val="continue"/>
            <w:noWrap w:val="0"/>
            <w:vAlign w:val="center"/>
          </w:tcPr>
          <w:p>
            <w:pPr>
              <w:rPr>
                <w:rStyle w:val="13"/>
                <w:rFonts w:ascii="宋体" w:hAnsi="宋体" w:eastAsia="宋体" w:cs="宋体"/>
                <w:b w:val="0"/>
                <w:bCs w:val="0"/>
                <w:color w:val="000000"/>
                <w:sz w:val="27"/>
                <w:szCs w:val="27"/>
                <w:vertAlign w:val="baseline"/>
                <w:lang/>
              </w:rPr>
            </w:pPr>
          </w:p>
        </w:tc>
        <w:tc>
          <w:tcPr>
            <w:tcW w:w="0" w:type="auto"/>
            <w:vMerge w:val="continue"/>
            <w:noWrap w:val="0"/>
            <w:vAlign w:val="center"/>
          </w:tcPr>
          <w:p>
            <w:pPr>
              <w:rPr>
                <w:rStyle w:val="13"/>
                <w:rFonts w:ascii="宋体" w:hAnsi="宋体" w:eastAsia="宋体" w:cs="宋体"/>
                <w:b w:val="0"/>
                <w:bCs w:val="0"/>
                <w:color w:val="000000"/>
                <w:sz w:val="27"/>
                <w:szCs w:val="27"/>
                <w:vertAlign w:val="baseline"/>
                <w:lang/>
              </w:rPr>
            </w:pPr>
          </w:p>
        </w:tc>
        <w:tc>
          <w:tcPr>
            <w:tcW w:w="0" w:type="auto"/>
            <w:vMerge w:val="continue"/>
            <w:noWrap w:val="0"/>
            <w:vAlign w:val="center"/>
          </w:tcPr>
          <w:p>
            <w:pPr>
              <w:rPr>
                <w:rStyle w:val="13"/>
                <w:rFonts w:ascii="宋体" w:hAnsi="宋体" w:eastAsia="宋体" w:cs="宋体"/>
                <w:b w:val="0"/>
                <w:bCs w:val="0"/>
                <w:color w:val="000000"/>
                <w:sz w:val="27"/>
                <w:szCs w:val="27"/>
                <w:vertAlign w:val="baseline"/>
                <w:lang/>
              </w:rPr>
            </w:pPr>
          </w:p>
        </w:tc>
        <w:tc>
          <w:tcPr>
            <w:tcW w:w="0" w:type="auto"/>
            <w:gridSpan w:val="2"/>
            <w:vMerge w:val="continue"/>
            <w:noWrap w:val="0"/>
            <w:vAlign w:val="center"/>
          </w:tcPr>
          <w:p>
            <w:pPr>
              <w:rPr>
                <w:rStyle w:val="13"/>
                <w:rFonts w:ascii="宋体" w:hAnsi="宋体" w:eastAsia="宋体" w:cs="宋体"/>
                <w:b w:val="0"/>
                <w:bCs w:val="0"/>
                <w:color w:val="000000"/>
                <w:sz w:val="27"/>
                <w:szCs w:val="27"/>
                <w:vertAlign w:val="baseline"/>
                <w:lang/>
              </w:rPr>
            </w:pPr>
          </w:p>
        </w:tc>
        <w:tc>
          <w:tcPr>
            <w:tcW w:w="0" w:type="auto"/>
            <w:vMerge w:val="continue"/>
            <w:noWrap w:val="0"/>
            <w:vAlign w:val="center"/>
          </w:tcPr>
          <w:p>
            <w:pPr>
              <w:rPr>
                <w:rStyle w:val="13"/>
                <w:rFonts w:ascii="宋体" w:hAnsi="宋体" w:eastAsia="宋体" w:cs="宋体"/>
                <w:b w:val="0"/>
                <w:bCs w:val="0"/>
                <w:color w:val="000000"/>
                <w:sz w:val="27"/>
                <w:szCs w:val="27"/>
                <w:vertAlign w:val="baseline"/>
                <w:lang/>
              </w:rPr>
            </w:pPr>
          </w:p>
        </w:tc>
        <w:tc>
          <w:tcPr>
            <w:tcW w:w="0" w:type="auto"/>
            <w:vMerge w:val="continue"/>
            <w:noWrap w:val="0"/>
            <w:vAlign w:val="center"/>
          </w:tcPr>
          <w:p>
            <w:pPr>
              <w:rPr>
                <w:rStyle w:val="13"/>
                <w:rFonts w:ascii="宋体" w:hAnsi="宋体" w:eastAsia="宋体" w:cs="宋体"/>
                <w:b w:val="0"/>
                <w:bCs w:val="0"/>
                <w:color w:val="000000"/>
                <w:sz w:val="27"/>
                <w:szCs w:val="27"/>
                <w:vertAlign w:val="baseline"/>
                <w:lang/>
              </w:rPr>
            </w:pPr>
          </w:p>
        </w:tc>
        <w:tc>
          <w:tcPr>
            <w:tcW w:w="0" w:type="auto"/>
            <w:vMerge w:val="continue"/>
            <w:noWrap w:val="0"/>
            <w:vAlign w:val="center"/>
          </w:tcPr>
          <w:p>
            <w:pPr>
              <w:rPr>
                <w:rStyle w:val="13"/>
                <w:rFonts w:ascii="宋体" w:hAnsi="宋体" w:eastAsia="宋体" w:cs="宋体"/>
                <w:b w:val="0"/>
                <w:bCs w:val="0"/>
                <w:color w:val="000000"/>
                <w:sz w:val="27"/>
                <w:szCs w:val="27"/>
                <w:vertAlign w:val="baseline"/>
                <w:lang/>
              </w:rPr>
            </w:pPr>
          </w:p>
        </w:tc>
        <w:tc>
          <w:tcPr>
            <w:tcW w:w="0" w:type="auto"/>
            <w:vMerge w:val="continue"/>
            <w:noWrap w:val="0"/>
            <w:vAlign w:val="center"/>
          </w:tcPr>
          <w:p>
            <w:pPr>
              <w:rPr>
                <w:rStyle w:val="13"/>
                <w:rFonts w:ascii="宋体" w:hAnsi="宋体" w:eastAsia="宋体" w:cs="宋体"/>
                <w:b w:val="0"/>
                <w:bCs w:val="0"/>
                <w:color w:val="000000"/>
                <w:sz w:val="27"/>
                <w:szCs w:val="27"/>
                <w:vertAlign w:val="baseline"/>
                <w:lang/>
              </w:rPr>
            </w:pPr>
          </w:p>
        </w:tc>
        <w:tc>
          <w:tcPr>
            <w:tcW w:w="137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涉事热水器、灶具安装位置</w:t>
            </w:r>
          </w:p>
        </w:tc>
        <w:tc>
          <w:tcPr>
            <w:tcW w:w="118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涉事热水器、灶具品牌批号</w:t>
            </w:r>
          </w:p>
        </w:tc>
        <w:tc>
          <w:tcPr>
            <w:tcW w:w="130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热水器、灶具安装单位（人）</w:t>
            </w:r>
          </w:p>
        </w:tc>
        <w:tc>
          <w:tcPr>
            <w:tcW w:w="106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涉事供气钢瓶/</w:t>
            </w:r>
            <w:r>
              <w:rPr>
                <w:rStyle w:val="13"/>
                <w:rFonts w:ascii="方正黑体_GBK" w:hAnsi="方正黑体_GBK" w:eastAsia="方正黑体_GBK" w:cs="方正黑体_GBK"/>
                <w:b w:val="0"/>
                <w:bCs w:val="0"/>
                <w:color w:val="000000"/>
                <w:sz w:val="27"/>
                <w:szCs w:val="27"/>
                <w:vertAlign w:val="baseline"/>
                <w:lang/>
              </w:rPr>
              <w:t>管道权属单位</w:t>
            </w:r>
          </w:p>
        </w:tc>
        <w:tc>
          <w:tcPr>
            <w:tcW w:w="134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涉事钢瓶提供点（人）</w:t>
            </w:r>
          </w:p>
        </w:tc>
        <w:tc>
          <w:tcPr>
            <w:tcW w:w="640"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1995" w:hRule="atLeast"/>
        </w:trPr>
        <w:tc>
          <w:tcPr>
            <w:tcW w:w="0" w:type="auto"/>
            <w:vMerge w:val="continue"/>
            <w:noWrap w:val="0"/>
            <w:vAlign w:val="center"/>
          </w:tcPr>
          <w:p>
            <w:pPr>
              <w:rPr>
                <w:rFonts w:ascii="Arial" w:hAnsi="Arial" w:eastAsia="Arial" w:cs="Arial"/>
                <w:b w:val="0"/>
                <w:bCs w:val="0"/>
                <w:color w:val="000000"/>
                <w:sz w:val="27"/>
                <w:szCs w:val="27"/>
                <w:lang/>
              </w:rPr>
            </w:pPr>
          </w:p>
        </w:tc>
        <w:tc>
          <w:tcPr>
            <w:tcW w:w="0" w:type="auto"/>
            <w:vMerge w:val="continue"/>
            <w:noWrap w:val="0"/>
            <w:vAlign w:val="center"/>
          </w:tcPr>
          <w:p>
            <w:pPr>
              <w:rPr>
                <w:rFonts w:ascii="Arial" w:hAnsi="Arial" w:eastAsia="Arial" w:cs="Arial"/>
                <w:b w:val="0"/>
                <w:bCs w:val="0"/>
                <w:color w:val="000000"/>
                <w:sz w:val="27"/>
                <w:szCs w:val="27"/>
                <w:lang/>
              </w:rPr>
            </w:pPr>
          </w:p>
        </w:tc>
        <w:tc>
          <w:tcPr>
            <w:tcW w:w="0" w:type="auto"/>
            <w:vMerge w:val="continue"/>
            <w:noWrap w:val="0"/>
            <w:vAlign w:val="center"/>
          </w:tcPr>
          <w:p>
            <w:pPr>
              <w:rPr>
                <w:rFonts w:ascii="Arial" w:hAnsi="Arial" w:eastAsia="Arial" w:cs="Arial"/>
                <w:b w:val="0"/>
                <w:bCs w:val="0"/>
                <w:color w:val="000000"/>
                <w:sz w:val="27"/>
                <w:szCs w:val="27"/>
                <w:lang/>
              </w:rPr>
            </w:pPr>
          </w:p>
        </w:tc>
        <w:tc>
          <w:tcPr>
            <w:tcW w:w="0" w:type="auto"/>
            <w:vMerge w:val="continue"/>
            <w:noWrap w:val="0"/>
            <w:vAlign w:val="center"/>
          </w:tcPr>
          <w:p>
            <w:pPr>
              <w:rPr>
                <w:rFonts w:ascii="Arial" w:hAnsi="Arial" w:eastAsia="Arial" w:cs="Arial"/>
                <w:b w:val="0"/>
                <w:bCs w:val="0"/>
                <w:color w:val="000000"/>
                <w:sz w:val="27"/>
                <w:szCs w:val="27"/>
                <w:lang/>
              </w:rPr>
            </w:pPr>
          </w:p>
        </w:tc>
        <w:tc>
          <w:tcPr>
            <w:tcW w:w="0" w:type="auto"/>
            <w:vMerge w:val="continue"/>
            <w:noWrap w:val="0"/>
            <w:vAlign w:val="center"/>
          </w:tcPr>
          <w:p>
            <w:pPr>
              <w:rPr>
                <w:rFonts w:ascii="Arial" w:hAnsi="Arial" w:eastAsia="Arial" w:cs="Arial"/>
                <w:b w:val="0"/>
                <w:bCs w:val="0"/>
                <w:color w:val="000000"/>
                <w:sz w:val="27"/>
                <w:szCs w:val="27"/>
                <w:lang/>
              </w:rPr>
            </w:pPr>
          </w:p>
        </w:tc>
        <w:tc>
          <w:tcPr>
            <w:tcW w:w="0" w:type="auto"/>
            <w:vMerge w:val="continue"/>
            <w:noWrap w:val="0"/>
            <w:vAlign w:val="center"/>
          </w:tcPr>
          <w:p>
            <w:pPr>
              <w:rPr>
                <w:rFonts w:ascii="Arial" w:hAnsi="Arial" w:eastAsia="Arial" w:cs="Arial"/>
                <w:b w:val="0"/>
                <w:bCs w:val="0"/>
                <w:color w:val="000000"/>
                <w:sz w:val="27"/>
                <w:szCs w:val="27"/>
                <w:lang/>
              </w:rPr>
            </w:pPr>
          </w:p>
        </w:tc>
        <w:tc>
          <w:tcPr>
            <w:tcW w:w="121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A.房屋所有权人 B.非房屋所有权人 B1.承租人 B2.借住人</w:t>
            </w:r>
          </w:p>
        </w:tc>
        <w:tc>
          <w:tcPr>
            <w:tcW w:w="136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A.机关单位职工 B.企业员工 C.自由职业者 D.无业人士 E.学生 F.农民 G.离退休人员 H.其他</w:t>
            </w:r>
          </w:p>
        </w:tc>
        <w:tc>
          <w:tcPr>
            <w:tcW w:w="92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年龄 (死者年龄)</w:t>
            </w:r>
          </w:p>
        </w:tc>
        <w:tc>
          <w:tcPr>
            <w:tcW w:w="107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A.浴室 B.厨房 C.客厅 D.卧室 （涉事场所面积/m</w:t>
            </w:r>
            <w:r>
              <w:rPr>
                <w:rStyle w:val="13"/>
                <w:rFonts w:ascii="宋体" w:hAnsi="宋体" w:eastAsia="宋体" w:cs="宋体"/>
                <w:b w:val="0"/>
                <w:bCs w:val="0"/>
                <w:color w:val="1F497D"/>
                <w:sz w:val="23"/>
                <w:szCs w:val="23"/>
                <w:vertAlign w:val="baseline"/>
                <w:lang/>
              </w:rPr>
              <w:t>2</w:t>
            </w:r>
            <w:r>
              <w:rPr>
                <w:rStyle w:val="13"/>
                <w:rFonts w:ascii="宋体" w:hAnsi="宋体" w:eastAsia="宋体" w:cs="宋体"/>
                <w:b w:val="0"/>
                <w:bCs w:val="0"/>
                <w:color w:val="1F497D"/>
                <w:sz w:val="27"/>
                <w:szCs w:val="27"/>
                <w:vertAlign w:val="baseline"/>
                <w:lang/>
              </w:rPr>
              <w:t>）</w:t>
            </w:r>
          </w:p>
        </w:tc>
        <w:tc>
          <w:tcPr>
            <w:tcW w:w="112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A.商品房 B.自建房 C.政策房 D.小产权房</w:t>
            </w:r>
          </w:p>
        </w:tc>
        <w:tc>
          <w:tcPr>
            <w:tcW w:w="128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A.燃气器具（热水器、灶具） B.煤炭柴火 C.废气尾气 D.其他（说明）</w:t>
            </w:r>
          </w:p>
        </w:tc>
        <w:tc>
          <w:tcPr>
            <w:tcW w:w="137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热水器安装在 A.浴室内 B.浴室外 灶具安装在 C.厨房内 D.厨房外（在起居室内）</w:t>
            </w:r>
          </w:p>
        </w:tc>
        <w:tc>
          <w:tcPr>
            <w:tcW w:w="118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品牌： 批号：</w:t>
            </w:r>
          </w:p>
        </w:tc>
        <w:tc>
          <w:tcPr>
            <w:tcW w:w="130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A产品销售商（名称） B住户 C租户 D其他</w:t>
            </w:r>
          </w:p>
        </w:tc>
        <w:tc>
          <w:tcPr>
            <w:tcW w:w="106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 ）燃气公司</w:t>
            </w:r>
          </w:p>
        </w:tc>
        <w:tc>
          <w:tcPr>
            <w:tcW w:w="134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供气地址、送气人姓名、电话</w:t>
            </w:r>
          </w:p>
        </w:tc>
        <w:tc>
          <w:tcPr>
            <w:tcW w:w="64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1F497D"/>
                <w:sz w:val="27"/>
                <w:szCs w:val="27"/>
                <w:vertAlign w:val="baseline"/>
                <w:lang/>
              </w:rPr>
              <w:t>　每周</w:t>
            </w:r>
            <w:r>
              <w:rPr>
                <w:rStyle w:val="13"/>
                <w:rFonts w:ascii="宋体" w:hAnsi="宋体" w:eastAsia="宋体" w:cs="宋体"/>
                <w:b w:val="0"/>
                <w:bCs w:val="0"/>
                <w:color w:val="1F497D"/>
                <w:sz w:val="18"/>
                <w:szCs w:val="18"/>
                <w:vertAlign w:val="baseline"/>
                <w:lang/>
              </w:rPr>
              <w:t>四</w:t>
            </w:r>
            <w:r>
              <w:rPr>
                <w:rStyle w:val="13"/>
                <w:rFonts w:ascii="宋体" w:hAnsi="宋体" w:eastAsia="宋体" w:cs="宋体"/>
                <w:b w:val="0"/>
                <w:bCs w:val="0"/>
                <w:color w:val="1F497D"/>
                <w:sz w:val="27"/>
                <w:szCs w:val="27"/>
                <w:vertAlign w:val="baseline"/>
                <w:lang/>
              </w:rPr>
              <w:t>提交</w:t>
            </w:r>
          </w:p>
        </w:tc>
      </w:tr>
      <w:tr>
        <w:tblPrEx>
          <w:tblCellMar>
            <w:top w:w="0" w:type="dxa"/>
            <w:left w:w="0" w:type="dxa"/>
            <w:bottom w:w="0" w:type="dxa"/>
            <w:right w:w="0" w:type="dxa"/>
          </w:tblCellMar>
        </w:tblPrEx>
        <w:trPr>
          <w:wBefore w:w="0" w:type="dxa"/>
          <w:trHeight w:val="1185" w:hRule="atLeast"/>
        </w:trPr>
        <w:tc>
          <w:tcPr>
            <w:tcW w:w="64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样例1</w:t>
            </w:r>
          </w:p>
        </w:tc>
        <w:tc>
          <w:tcPr>
            <w:tcW w:w="92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2月9日22点14分</w:t>
            </w:r>
          </w:p>
        </w:tc>
        <w:tc>
          <w:tcPr>
            <w:tcW w:w="121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市(县)XX区X路X号X小区（X单位）X栋X房号</w:t>
            </w:r>
          </w:p>
        </w:tc>
        <w:tc>
          <w:tcPr>
            <w:tcW w:w="79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3</w:t>
            </w:r>
          </w:p>
        </w:tc>
        <w:tc>
          <w:tcPr>
            <w:tcW w:w="79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2</w:t>
            </w:r>
          </w:p>
        </w:tc>
        <w:tc>
          <w:tcPr>
            <w:tcW w:w="79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1</w:t>
            </w:r>
          </w:p>
        </w:tc>
        <w:tc>
          <w:tcPr>
            <w:tcW w:w="121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B1</w:t>
            </w:r>
          </w:p>
        </w:tc>
        <w:tc>
          <w:tcPr>
            <w:tcW w:w="136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A;F;E</w:t>
            </w:r>
          </w:p>
        </w:tc>
        <w:tc>
          <w:tcPr>
            <w:tcW w:w="92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30;29;8 （8）</w:t>
            </w:r>
          </w:p>
        </w:tc>
        <w:tc>
          <w:tcPr>
            <w:tcW w:w="107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A （25平方米）</w:t>
            </w:r>
          </w:p>
        </w:tc>
        <w:tc>
          <w:tcPr>
            <w:tcW w:w="112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B</w:t>
            </w:r>
          </w:p>
        </w:tc>
        <w:tc>
          <w:tcPr>
            <w:tcW w:w="128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A</w:t>
            </w:r>
          </w:p>
        </w:tc>
        <w:tc>
          <w:tcPr>
            <w:tcW w:w="137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A</w:t>
            </w:r>
          </w:p>
        </w:tc>
        <w:tc>
          <w:tcPr>
            <w:tcW w:w="118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xxx牌； 批次：20091023AB</w:t>
            </w:r>
          </w:p>
        </w:tc>
        <w:tc>
          <w:tcPr>
            <w:tcW w:w="130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A：XXX电器销售公司</w:t>
            </w:r>
          </w:p>
        </w:tc>
        <w:tc>
          <w:tcPr>
            <w:tcW w:w="106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钢瓶为XX燃气公司</w:t>
            </w:r>
          </w:p>
        </w:tc>
        <w:tc>
          <w:tcPr>
            <w:tcW w:w="134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XX路XX号XX液化气公司营业部；张三；139xxxxxx</w:t>
            </w:r>
          </w:p>
        </w:tc>
        <w:tc>
          <w:tcPr>
            <w:tcW w:w="64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195" w:lineRule="atLeast"/>
              <w:ind w:left="0" w:right="0" w:firstLine="0"/>
              <w:jc w:val="center"/>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其他信息</w:t>
            </w:r>
          </w:p>
        </w:tc>
      </w:tr>
      <w:tr>
        <w:tblPrEx>
          <w:tblCellMar>
            <w:top w:w="0" w:type="dxa"/>
            <w:left w:w="0" w:type="dxa"/>
            <w:bottom w:w="0" w:type="dxa"/>
            <w:right w:w="0" w:type="dxa"/>
          </w:tblCellMar>
        </w:tblPrEx>
        <w:trPr>
          <w:wBefore w:w="0" w:type="dxa"/>
          <w:trHeight w:val="2250" w:hRule="atLeast"/>
        </w:trPr>
        <w:tc>
          <w:tcPr>
            <w:tcW w:w="15280" w:type="dxa"/>
            <w:gridSpan w:val="18"/>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一、表格说明：（一）房屋所有权人：中毒人员为房产证载明的房屋持有人或共有人，或者与其同住的父母、配偶、子女。（二）承租：中毒人员以合同协议等形式，通过支付租金等方式获得房屋的居住权和使用权。（三）借住：中毒人员为非房产证载明的房屋持有人或共有人。（四）政策房：包括房改住房、集资建房、经济适用住房、限价商品住房、市场运作建房、危旧房改住房改造还建（或非还建）住房、廉（公）租房等。（五）小产权房：在集体土地上建设的、无法或未办理产权证的房屋。（六）棚户区改造区域内和城中村区域内的房屋，其性质根据对应的政策和建设、改造原则确定。 二、表格填写：（一）事故发生时，110或120应在第一时间到达事故现场。公安部门或医疗机构现场人员应尽可能填写上列信息。（二）事故发生后，在维持事故现场原状的前提下，公安部门或医疗机构应按照职责，自行开展事故原因调查并完成表格填写；或通过地方应急部门协调安监部门开展事故原因调查，并完成表格填写。（三）事故调查牵头部门可通过地方应急部门协调，委托社区、居委会、村委会等基层组织或后勤服务中心、物业公司等，完成表格填写。（四</w:t>
            </w:r>
            <w:r>
              <w:rPr>
                <w:rStyle w:val="13"/>
                <w:rFonts w:ascii="宋体" w:hAnsi="宋体" w:eastAsia="宋体" w:cs="宋体"/>
                <w:b w:val="0"/>
                <w:bCs w:val="0"/>
                <w:color w:val="000000"/>
                <w:sz w:val="17"/>
                <w:szCs w:val="17"/>
                <w:vertAlign w:val="baseline"/>
                <w:lang/>
              </w:rPr>
              <w:t>）联席单位</w:t>
            </w:r>
            <w:r>
              <w:rPr>
                <w:rStyle w:val="13"/>
                <w:rFonts w:ascii="宋体" w:hAnsi="宋体" w:eastAsia="宋体" w:cs="宋体"/>
                <w:b w:val="0"/>
                <w:bCs w:val="0"/>
                <w:color w:val="000000"/>
                <w:sz w:val="27"/>
                <w:szCs w:val="27"/>
                <w:vertAlign w:val="baseline"/>
                <w:lang/>
              </w:rPr>
              <w:t>根据现场信息采集纸质材料，完成本电子表格填写和汇总。 三、汇总汇报：（一）自2018年7月起，本电子表格由</w:t>
            </w:r>
            <w:r>
              <w:rPr>
                <w:rStyle w:val="13"/>
                <w:rFonts w:ascii="宋体" w:hAnsi="宋体" w:eastAsia="宋体" w:cs="宋体"/>
                <w:b w:val="0"/>
                <w:bCs w:val="0"/>
                <w:color w:val="000000"/>
                <w:sz w:val="17"/>
                <w:szCs w:val="17"/>
                <w:vertAlign w:val="baseline"/>
                <w:lang/>
              </w:rPr>
              <w:t>各联席单位</w:t>
            </w:r>
            <w:r>
              <w:rPr>
                <w:rStyle w:val="13"/>
                <w:rFonts w:ascii="宋体" w:hAnsi="宋体" w:eastAsia="宋体" w:cs="宋体"/>
                <w:b w:val="0"/>
                <w:bCs w:val="0"/>
                <w:color w:val="000000"/>
                <w:sz w:val="27"/>
                <w:szCs w:val="27"/>
                <w:vertAlign w:val="baseline"/>
                <w:lang/>
              </w:rPr>
              <w:t>统一</w:t>
            </w:r>
            <w:r>
              <w:rPr>
                <w:rStyle w:val="13"/>
                <w:rFonts w:ascii="宋体" w:hAnsi="宋体" w:eastAsia="宋体" w:cs="宋体"/>
                <w:b w:val="0"/>
                <w:bCs w:val="0"/>
                <w:color w:val="000000"/>
                <w:sz w:val="17"/>
                <w:szCs w:val="17"/>
                <w:vertAlign w:val="baseline"/>
                <w:lang/>
              </w:rPr>
              <w:t>上报</w:t>
            </w:r>
            <w:r>
              <w:rPr>
                <w:rStyle w:val="13"/>
                <w:rFonts w:ascii="宋体" w:hAnsi="宋体" w:eastAsia="宋体" w:cs="宋体"/>
                <w:b w:val="0"/>
                <w:bCs w:val="0"/>
                <w:color w:val="000000"/>
                <w:sz w:val="27"/>
                <w:szCs w:val="27"/>
                <w:vertAlign w:val="baseline"/>
                <w:lang/>
              </w:rPr>
              <w:t>，于每周</w:t>
            </w:r>
            <w:r>
              <w:rPr>
                <w:rStyle w:val="13"/>
                <w:rFonts w:ascii="宋体" w:hAnsi="宋体" w:eastAsia="宋体" w:cs="宋体"/>
                <w:b w:val="0"/>
                <w:bCs w:val="0"/>
                <w:color w:val="000000"/>
                <w:sz w:val="17"/>
                <w:szCs w:val="17"/>
                <w:vertAlign w:val="baseline"/>
                <w:lang/>
              </w:rPr>
              <w:t>三</w:t>
            </w:r>
            <w:r>
              <w:rPr>
                <w:rStyle w:val="13"/>
                <w:rFonts w:ascii="宋体" w:hAnsi="宋体" w:eastAsia="宋体" w:cs="宋体"/>
                <w:b w:val="0"/>
                <w:bCs w:val="0"/>
                <w:color w:val="000000"/>
                <w:sz w:val="27"/>
                <w:szCs w:val="27"/>
                <w:vertAlign w:val="baseline"/>
                <w:lang/>
              </w:rPr>
              <w:t>前汇总相关信息后报送</w:t>
            </w:r>
            <w:r>
              <w:rPr>
                <w:rStyle w:val="13"/>
                <w:rFonts w:ascii="宋体" w:hAnsi="宋体" w:eastAsia="宋体" w:cs="宋体"/>
                <w:b w:val="0"/>
                <w:bCs w:val="0"/>
                <w:color w:val="000000"/>
                <w:sz w:val="17"/>
                <w:szCs w:val="17"/>
                <w:vertAlign w:val="baseline"/>
                <w:lang/>
              </w:rPr>
              <w:t>县</w:t>
            </w:r>
            <w:r>
              <w:rPr>
                <w:rStyle w:val="13"/>
                <w:rFonts w:ascii="宋体" w:hAnsi="宋体" w:eastAsia="宋体" w:cs="宋体"/>
                <w:b w:val="0"/>
                <w:bCs w:val="0"/>
                <w:color w:val="000000"/>
                <w:sz w:val="27"/>
                <w:szCs w:val="27"/>
                <w:vertAlign w:val="baseline"/>
                <w:lang/>
              </w:rPr>
              <w:t>联席办邮箱</w:t>
            </w:r>
            <w:r>
              <w:rPr>
                <w:rStyle w:val="13"/>
                <w:rFonts w:ascii="宋体" w:hAnsi="宋体" w:eastAsia="宋体" w:cs="宋体"/>
                <w:b w:val="0"/>
                <w:bCs w:val="0"/>
                <w:color w:val="000000"/>
                <w:sz w:val="17"/>
                <w:szCs w:val="17"/>
                <w:vertAlign w:val="baseline"/>
                <w:lang/>
              </w:rPr>
              <w:t>npxszj</w:t>
            </w:r>
            <w:r>
              <w:rPr>
                <w:rStyle w:val="13"/>
                <w:rFonts w:ascii="宋体" w:hAnsi="宋体" w:eastAsia="宋体" w:cs="宋体"/>
                <w:b w:val="0"/>
                <w:bCs w:val="0"/>
                <w:color w:val="000000"/>
                <w:sz w:val="27"/>
                <w:szCs w:val="27"/>
                <w:vertAlign w:val="baseline"/>
                <w:lang/>
              </w:rPr>
              <w:t>@163.com（纸质材料扫描件一并报送）。（二）县联席办要在市联席办召开的应急视频点名会议上通报本地相关工作开展情况。 四、请注明填写人信息，如多人共同填写，请一并列出姓名、工作单位、联系电话。</w:t>
            </w:r>
          </w:p>
          <w:p>
            <w:pPr>
              <w:pStyle w:val="12"/>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z w:val="27"/>
                <w:szCs w:val="27"/>
                <w:vertAlign w:val="baseline"/>
                <w:lang/>
              </w:rPr>
              <w:t>五、未尽事宜，请与县燃气主管部门负责人联系，联系人：陆光新；联系电话：</w:t>
            </w:r>
            <w:r>
              <w:rPr>
                <w:rStyle w:val="13"/>
                <w:rFonts w:ascii="宋体" w:hAnsi="宋体" w:eastAsia="宋体" w:cs="宋体"/>
                <w:b/>
                <w:bCs/>
                <w:color w:val="000000"/>
                <w:sz w:val="27"/>
                <w:szCs w:val="27"/>
                <w:vertAlign w:val="baseline"/>
                <w:lang/>
              </w:rPr>
              <w:t>0776-6821118</w:t>
            </w:r>
            <w:r>
              <w:rPr>
                <w:rStyle w:val="13"/>
                <w:rFonts w:ascii="宋体" w:hAnsi="宋体" w:eastAsia="宋体" w:cs="宋体"/>
                <w:b w:val="0"/>
                <w:bCs w:val="0"/>
                <w:color w:val="000000"/>
                <w:sz w:val="27"/>
                <w:szCs w:val="27"/>
                <w:vertAlign w:val="baseline"/>
                <w:lang/>
              </w:rPr>
              <w:t>。</w:t>
            </w: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那坡县联席会议工作情况月度报表（2018年__月）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填报单位（盖章）：填报人：联系电话：</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34"/>
        <w:gridCol w:w="974"/>
        <w:gridCol w:w="974"/>
        <w:gridCol w:w="704"/>
        <w:gridCol w:w="974"/>
        <w:gridCol w:w="974"/>
        <w:gridCol w:w="974"/>
        <w:gridCol w:w="974"/>
        <w:gridCol w:w="974"/>
        <w:gridCol w:w="704"/>
        <w:gridCol w:w="704"/>
        <w:gridCol w:w="704"/>
        <w:gridCol w:w="70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58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上月中毒人数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102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上月中毒死亡人数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主管部门检查企业情况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安全宣传覆盖用户数量（户）</w:t>
            </w:r>
          </w:p>
        </w:tc>
        <w:tc>
          <w:tcPr>
            <w:tcW w:w="115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入户检查数量（户）</w:t>
            </w:r>
          </w:p>
        </w:tc>
        <w:tc>
          <w:tcPr>
            <w:tcW w:w="102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存在隐患户数（户）</w:t>
            </w:r>
          </w:p>
        </w:tc>
        <w:tc>
          <w:tcPr>
            <w:tcW w:w="102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安全隐患已整改户数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2018年燃气企业入户数量、安全检查率</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打击非法燃气充装供应情况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伪劣燃气器具生产销售排摸情况</w:t>
            </w:r>
          </w:p>
        </w:tc>
        <w:tc>
          <w:tcPr>
            <w:tcW w:w="115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用户投诉举报情况</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民政部门救助统计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w:t>
            </w:r>
          </w:p>
        </w:tc>
        <w:tc>
          <w:tcPr>
            <w:tcW w:w="100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检查企业（）家，提出整改要求（）项（详细情况另附页）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覆盖 　%</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安全检查率 　%</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开展打击工作（）次，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取缔网点（）个，查扣钢瓶（）个</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是否开展排摸工作：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是否开展打击行动：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取缔网点（）个，查扣热水器（）台，灶具（）台</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收到投诉（）次，督促完成整改（）项</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救助（）户，拨付资金（）万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8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乡镇</w:t>
            </w:r>
          </w:p>
        </w:tc>
        <w:tc>
          <w:tcPr>
            <w:tcW w:w="100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2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2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2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注意事项：1.此表由联席单位每月28日前填报；2.表格电子版请发送邮箱npxszj@163.com；3.未尽事宜，请与县燃气主管部门负责人联系，联系人：陆光新；联系电话：0776-6821118。</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那坡县联席会议成员单位预防非职业性一氧化碳中毒工作情况统计表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（2018年__月）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填报单位（盖章）：联系人：联系电话：</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513"/>
        <w:gridCol w:w="1004"/>
        <w:gridCol w:w="619"/>
        <w:gridCol w:w="577"/>
        <w:gridCol w:w="543"/>
        <w:gridCol w:w="543"/>
        <w:gridCol w:w="543"/>
        <w:gridCol w:w="543"/>
        <w:gridCol w:w="543"/>
        <w:gridCol w:w="543"/>
        <w:gridCol w:w="543"/>
        <w:gridCol w:w="543"/>
        <w:gridCol w:w="543"/>
        <w:gridCol w:w="543"/>
        <w:gridCol w:w="537"/>
        <w:gridCol w:w="975"/>
        <w:gridCol w:w="97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9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市（县）</w:t>
            </w:r>
          </w:p>
        </w:tc>
        <w:tc>
          <w:tcPr>
            <w:tcW w:w="11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应急主管部门</w:t>
            </w:r>
          </w:p>
        </w:tc>
        <w:tc>
          <w:tcPr>
            <w:tcW w:w="100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部门</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卫生计生部门</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工商部门</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质监部门</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公安消防部门</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教育部门</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民政部门</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气象部门</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工业和信息化部门</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通信管理部门</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新闻广电部门</w:t>
            </w:r>
          </w:p>
        </w:tc>
        <w:tc>
          <w:tcPr>
            <w:tcW w:w="84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其他部门</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2018年以来非职业性一氧化碳中毒住院总人数统计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2018年以来非职业性一氧化碳中毒死亡总人数统计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9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内容较多的可在下方备注或另附页说明</w:t>
            </w:r>
          </w:p>
        </w:tc>
        <w:tc>
          <w:tcPr>
            <w:tcW w:w="100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问题1</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问题2</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7"/>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备注说明：</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注意事项：1.此表由联席单位填报，于每月28日前上报县联席办；2.表格电子版请发送邮箱npxszj@163.com；3.未尽事宜，请与县燃气主管部门负责人联系，联系人：陆光新；联系电话：0776-6821118。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附件4</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那坡县燃气企业及用户情况调查摸底情况表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填报单位（盖章）：联系人：联系电话：</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34"/>
        <w:gridCol w:w="1274"/>
        <w:gridCol w:w="1814"/>
        <w:gridCol w:w="1544"/>
        <w:gridCol w:w="1544"/>
        <w:gridCol w:w="3704"/>
        <w:gridCol w:w="6134"/>
        <w:gridCol w:w="5864"/>
        <w:gridCol w:w="4244"/>
        <w:gridCol w:w="2894"/>
        <w:gridCol w:w="73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0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3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10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燃气企业名称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供应气源</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类型</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居民总用户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数量（户）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用户分布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2018年1月到2018年8月燃气用户一氧化碳中毒情况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2018年1月到2018年8月燃气用户中毒人数（人）</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从业人员数量（持证上岗人数）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过往用户投诉举报数量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（次）</w:t>
            </w:r>
          </w:p>
        </w:tc>
        <w:tc>
          <w:tcPr>
            <w:tcW w:w="115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自建房（）户；商品房（）户</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发生事故（）起；中毒住院( )人，死亡（）人。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从业人员（）人，持证人员（）人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乡（镇）</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管道天然气</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用户为租户占比 %</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发生事故（）起；中毒住院( )人，死亡（）人。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从业人员（）人，持证人员（）人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0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93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30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注意事项：1.此表由燃气主管部门填报,于2018年8月30日上报县联席办，并将电子版发送邮箱npxszj@163.com；2.未尽事宜，请与县燃气主管部门负责人联系，联系人：陆光新；联系电话：0776-6821118。</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"https://www.pkulaw.com/lar/eea015bc5b4494244c513c89f645630dbdfb.html"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https://www.pkulaw.com/lar/eea015bc5b4494244c513c89f645630dbdfb.html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方正小标宋简体">
    <w:altName w:val="方正舒体"/>
    <w:panose1 w:val="00000000000000000000"/>
    <w:charset w:val="00"/>
    <w:family w:val="auto"/>
    <w:pitch w:val="default"/>
    <w:sig w:usb0="00000000" w:usb1="00000000" w:usb2="00000000" w:usb3="00000000" w:csb0="00040001" w:csb1="00000000"/>
  </w:font>
  <w:font w:name="方正黑体_GBK">
    <w:altName w:val="微软雅黑"/>
    <w:panose1 w:val="00000000000000000000"/>
    <w:charset w:val="00"/>
    <w:family w:val="auto"/>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【法宝引证码】CLI.14.4193039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0B38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character" w:customStyle="1" w:styleId="13">
    <w:name w:val="span"/>
    <w:basedOn w:val="4"/>
    <w:uiPriority w:val="0"/>
    <w:rPr>
      <w:sz w:val="24"/>
      <w:szCs w:val="24"/>
      <w:vertAlign w:val="baseline"/>
    </w:r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2023-01-28T15:47:00Z</dcterms:created>
  <dc:creator>xmintie.</dc:creator>
  <cp:lastModifiedBy>xmintie.</cp:lastModifiedBy>
  <dcterms:modified xsi:type="dcterms:W3CDTF">2023-01-28T15:47:00Z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2B36ED91F7B44D0E890FBD42A2876F47</vt:lpwstr>
  </property>
</Properties>
</file>