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钦州市钦北区人民政府办公室关于印发2018年钦北区预防非职业性一氧化碳中毒专项整治行动方案的通知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钦州市钦北区人民政府办公室关于印发2018年钦北区预防非职业性一氧化碳中毒专项整治行动方案的通知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北政办电[2018]74号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各镇人民政府，各街道办事处，区直及驻钦北各有关单位: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经区人民政府同意，现将《2018年钦北区预防非职业性一氧化碳中毒专项整治行动方案》印发给你们，请认真组织实施。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2018年10月8日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2018年钦北区预防非职业性一氧化碳中毒专项整治行动方案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广西壮族自治区人民政府办公厅关于印发2018年全区预防非职业性一氧化碳中毒专项整治行动方案的通知》（桂政办电〔2018〕62号）、《自治区住房城乡建设厅关于印发2018年全区住房城乡建设系统预防非职业性一氧化碳中毒专项整治行动实施方案的通知》（桂建城〔2018〕17号）及《钦州市人民政府办公室关于印发2018年钦州市预防非职业性一氧化碳中毒专项整治行动方案的通知》（钦政办电〔2018〕37号）精神，为做好我区预防非职业性一氧化碳中毒专项整治工作，有效预防非职业性一氧化碳中毒事故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建立健全机制、开展宣传教育、入户检查和隐患整改、整顿燃料及燃气经营市场等措施，实现对燃气用户的宣传、安全检查覆盖率达100%，力争今冬明春我区不发生因非职业性一氧化碳中毒群死群伤事故，全区非职业性一氧化碳中毒事故起数、中毒住院治疗及死亡人数比上年同期均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（一）完善联动机制，建立健全工作制度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成立联席会议。区人民政府已建立联席会议制度，各镇（街道）要相应建立完善预防非职业性一氧化碳中毒联席会议制度，部署相关工作，研究解决相关问题，建立预防非职业性一氧化碳中毒工作长效机制，各镇（街道）必须于2018年9月底前建立联席会议制度。（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工作月报机制。自2018年9月起，各镇（街道）联席会议办公室要于每月底前将本月工作开展情况（报告模板详见附件1）上报区联席会议办公室（区住建局），电话：0777-3899416，传真：0777-3892338，电子版发送至邮箱:qbqrqz3892536@163.com。（牵头单位：区住建局；配合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投诉举报制度。各镇（街道）联席会议办公室建立燃气安全相关投诉和举报制度，并公开投诉举报电话（此项工作2018年10月底前完成并将情况报送区住建局）。对接到的投诉举报信息，要认真调查核实，一经查实，要进行严肃处理。（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约谈机制。区联席会议要定期约谈中毒事故多发的镇（街道），区住建局要约谈燃气企业，分析事故多发原因和存在的问题，督促有关镇（街道）加强整改工作。（牵头单位：区住建局；配合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5.完善应急预案。各镇（街道）要及时编制、修订本镇（街道）燃气安全应急预案，并于2018年10月25日前将相关预案报送区住建局。（责任单位：各镇人民政府、街道办事处）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（二）开展行业调查摸底，建立统计分析和倒查机制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行业摸底调查。各镇（街道）要组织辖区内的燃气企业，立即对供应区域内的燃气种类、居民用户数量、存在安全隐患的用户数量等进行摸底调查和统计，及时建立台账（模板详见附件2），于2018年10月底前报送区住建局，区住建局做好统计上报工作。（牵头单位：区住建局；配合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统计分析机制。各镇（街道）要加强与区应急、卫计、公安等部门的沟通联系，及时获取中毒事故准确信息，核对相关数据（见附件3），并于每周五下午下班前将相关数据报送区联席会议办公室。要对发生事故的区域、人员信息、房屋情况等进行分析，查找事故发生原因，并定期向区联席会议报送分析结果，督促相关责任单位针对事故成因加强整治排查。区联席会议办公室负责汇总信息上报市联席会议办公室。（牵头单位：各镇人民政府、街道办事处；配合单位：区卫计局、公安钦北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事故责任倒查。组织开展2017年末和2018年以来非职业性一氧化碳中毒事故分析倒查工作，针对发现存在明显过失的单位或个人，要督促有关职能部门依法采取行政手段进行责任追究和处罚；对履职不力的管理部门和人员，要依法依规进行责任追究。（牵头单位：区住建局；配合单位：区联席会议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组织燃气企业入户检查宣传。各镇（街道）要结合实际，集中在回南天天气高发期（3月）和天气转冷前（11月）两个时段，组织辖区燃气企业利用办理业务及入户检查等契机，持续向广大群众开展安全使用燃料（含煤炭、木柴、燃气等燃料）知识的宣传教育，年内要实现宣传覆盖率达100%。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区联席会议办公室。各镇（街道）、各行业主管部门要督促燃气企业做好相关宣传教育和台账建立工作，并定期进行抽查，确保每家每户宣传到位，同时将存在用气安全隐患的用户信息报送当地镇政府（街道办）。（责任单位：各镇人民政府、街道办事处、各行业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形式多样宣传教育活动。各有关单位利用本系统门户网站及其他宣传窗口开展安全使用燃料、正确预防和救治非职业性一氧化碳中毒知识技能宣传。公安、教育、卫计、交通运输等部门要结合工作实际，开展对流动人口、就医人员、学生、机动车驾驶员等群体的宣传教育。组织有关单位、企业通过车站、银行、商场、通讯运营商服务网点、公共宣传栏等渠道，采用LED显示屏、横幅、展板、海报、网络文章、知识竞赛、有奖问答等多种形式强化宣传教育，有效提高群众预防非职业性一氧化碳中毒知识普及率，帮助群众掌握预防和救治技能，确保预防知识家喻户晓。（责任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3.加大媒体宣传力度。区委宣传部要在电视、广播、报纸等主流媒体上定期开展预防非职业性一氧化碳中毒相关宣传报道活动。（牵头单位：区委宣传部；配合单位：区联席会议成员单位）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学校宣传教育。区教育局要加强在校中小学生及幼儿的预防知识教育，所有中小学开展宣传教育活动每年不得少于1次，宣传资料务必发放到每个学生手中。开展“小手拉大手"等活动，并通过发放《致家长一封信》、学生家长会、利用班级QQ群、微信群宣教等方式，将预防非职业性一氧化碳中毒知识由孩子传递给家长，从学校传递给家庭。（责任单位：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（四）全面开展安全隐患排查，开展整改工作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安全隐患排查整改工作。一是入户调查摸底，结合综治、消防、卫生检查等入户机会开展预防非职业性一氧化碳中毒的隐患排查，特别是偏远村、屯等区域以及使用瓶装燃气用户的隐患排查。二是对存在使用不合格燃气热水器、灶具或安装位置不当、不安装排烟管道等安全隐患的，要进行登记造册，积极联系合格燃气器具生产销售企业，为存在隐患的用户进行简便、免费或低收费的燃气器具整改服务（如移动位置、加装排烟管等），必要时予以强制更换。该项工作于2018年10月底前完成。（牵头单位：各镇人民政府、街道办事处；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2.履行安全检查主体职责。督促和指导各镇（街道）燃气企业按照《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宣传检查覆盖率达100%。发现存在用气安全隐患的，要认真记录存档并督促整改；拒绝专业人员入户检查或拒不整改安全隐患的，通知物业单位或居委、村屯管理部门备查和共同督促，有关检查情况要如实记录并形成工作台账。物业服务单位或居委、村屯等管理部门要积极配合燃气企业开展安全检查工作，督促群众接受入户检查和整改。发现存在非法供、用气现象的，要立即责令相关人员停止供气、用气，做好拍照、摄像等记录并立即报告当地燃气主管部门。当地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处罚。各镇（街道）要采取明察暗访等形式，定期或不定期督查燃气企业入户检查，监督燃气企业落实检查主体责任工作，发现弄虚作假或不履行职责的，要坚决按照相关法规要求严肃处理。（牵头单位：区住建局、区城管综合执法局；配合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（五）整顿燃气及燃气器具市场，打击非法经营、非法充装燃气及生产销售假冒伪劣燃气器具的行为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打击非法经营活动。各镇（街道）、各行业主管部门要结合当地实际，组织开展燃气行业安全隐患排查整治行动，整顿燃气市场。组织开展打击非法存储、充装、运输、经营燃气专项整治行动，取缔非法经营燃气网点，查扣违法运输液化石油气钢瓶车辆，按照《治安管理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各相关单位要于2018年9月至11月组织开展不少于2次专项整治行动。（牵头单位：区住建局、区城管综合执法局、区交通运输局、公安钦北分局；配合单位：各镇人民政府、街道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燃气监测预警平台。加快我区燃气监测预警系统平台建设，实现与市监测平台互联互通，利用技术手段对燃气企业和燃气设施进行实时监控，严格管控瓶装燃气流通，提高工作成效。该项工作于2018年10月底前完成。（牵头单位：区住建局；配合单位：区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组织开展燃气器具市场专项整治。各镇（街道）、各行业主管部门要结合实际开展燃气器具市场专项整顿行动，收缴非法销售产品，严惩非法经营者，要从源头上打击非法生产燃气器具的企业及私人小作坊。积极引导消费者辨识产品真假，及时公开与本地气源适配的燃气器具产品种类和型号，公示违规企业和伪劣产品，推荐符合标准的品牌和生产销售企业，规范燃气器具销售商的安装行为。该项工作于2018年10月底前完成。（牵头单位：区工信局、区工商局；配合单位：各镇人民政府、街道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1.根据国家、自治区及市、区有关应急救援预案，指导各镇（街道）制定本地区非职业性一氧化碳中毒救治应急专项方案。该项工作于2018年10月底前完成。（责任单位：区卫计局）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2.统筹安排辖区医疗救治设备、医护人员资源，加强互助联动，开辟绿色通道，加强对非职业性一氧化碳中毒人员的救治工作，尽最大努力减少人员死亡。（责任单位：区卫计局）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3.加强对孤寡老人、五保户、留守儿童等弱势群体的帮扶和关怀，对发生中毒事件的困难家庭和个人开展安抚、帮扶工作。（牵头单位：区民政局；配合单位：各镇人民政府、街道办事处）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根据气候变化（如寒冷天气、回南天、大风天气等变化情况）的分析研判，多渠道开展预防非职业性一氧化碳中毒知识宣传工作，提高电信运营企业预报预警服务能力。（牵头单位：区工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（八）建立绩效考评机制，落实我区预防非职业性一氧化碳中毒工作责任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将预防一氧化碳中毒工作纳入绩效考评范畴，并按照《2017年度钦州市钦北区平衡计分卡绩效管理工作方案》第7条和《2017年钦州市钦北区部门绩效考评加分扣分实施办法》中第六条规定，对能认真履行职责，预防整治工作取得良好成效的，由区联席会议办公室提请区委或区人民政府书面通报表扬，对责任不落实，工作成效差的进行通报批评，并相应加减绩效考评分数。（牵头单位：区绩效办；配合单位：区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镇人民政府（街道办事处）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配合共同完成。各联席会议成员单位要勇于担当，主动作为，积极协调，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工作考评。区联席会议办公室要坚持客观公正、突出重点、讲求实效、促进工作的原则，科学、合理设置考评指标，将预防非职业性一氧化碳中毒工作纳入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（四）加大财政支持力度。区财政局要安排预防非职业性一氧化碳中毒专项整治工作专项经费，确保预防非职业性一氧化碳中毒各项工作的正常开展。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各镇（街道）、各相关单位要及时总结工作成效，认真组织填写周报、月报，并按期报送区联席会议办公室。工作过程中遇到困难和问题的，及时与上级主管部门、区联席会议办公室沟通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1.镇（街道）联席会议工作情况月度报表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2.镇（街道）燃气企业及用户情况调查摸底情况表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3.镇（街道）非职业性一氧化碳中毒事件情况数据统计表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镇（街道）联席会议工作情况月度报表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　　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　　填报人：　　联系电话：</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84"/>
        <w:gridCol w:w="623"/>
        <w:gridCol w:w="623"/>
        <w:gridCol w:w="974"/>
        <w:gridCol w:w="1244"/>
        <w:gridCol w:w="1034"/>
        <w:gridCol w:w="984"/>
        <w:gridCol w:w="623"/>
        <w:gridCol w:w="1144"/>
        <w:gridCol w:w="724"/>
        <w:gridCol w:w="724"/>
        <w:gridCol w:w="724"/>
        <w:gridCol w:w="72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8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本月中毒人数</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本月中毒死亡人数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管理部门检查企业情况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安全宣传覆盖用户数量（户）</w:t>
            </w:r>
          </w:p>
        </w:tc>
        <w:tc>
          <w:tcPr>
            <w:tcW w:w="115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入户检查数量（户）</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户内隐患数量（户）</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户内隐患整改数量</w:t>
            </w:r>
          </w:p>
        </w:tc>
        <w:tc>
          <w:tcPr>
            <w:tcW w:w="12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2018年燃气企业入户数量、安检率</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打击非法燃气充装供应情况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伪劣燃气具生产销售排摸情况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用户投诉举报情况</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民政部门救助统计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85" w:type="dxa"/>
            <w:tcBorders>
              <w:top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检查企业（）家，提出整改（）项（详细情况另附页）。</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覆盖 　%。</w:t>
            </w:r>
          </w:p>
        </w:tc>
        <w:tc>
          <w:tcPr>
            <w:tcW w:w="115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2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开展打击工作（）次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查扣（）个钢瓶。</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是否开展排摸工作：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是否开展打击行动：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取缔（）个点，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查扣热水器（）台，灶具（）台。</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收到投诉（）次，督促完成整改（）条。</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救助（）户，拨付资金（）万。</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注意事项：1.每月5日前填报；表格电子版请发送至邮箱：qbqrqz3892536@163.com；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2.其他未尽事宜请与钦北区燃气管理站联系，联系人：陈志英；联系电话：0777-3899416。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镇（街道）燃气企业及用户情况调查摸底情况表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　　　联系人：　　　联系电话：</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619"/>
        <w:gridCol w:w="1129"/>
        <w:gridCol w:w="845"/>
        <w:gridCol w:w="746"/>
        <w:gridCol w:w="1159"/>
        <w:gridCol w:w="761"/>
        <w:gridCol w:w="1042"/>
        <w:gridCol w:w="761"/>
        <w:gridCol w:w="974"/>
        <w:gridCol w:w="761"/>
        <w:gridCol w:w="974"/>
        <w:gridCol w:w="85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630"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15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（街道）</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燃气企业名称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供应气源</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类型</w:t>
            </w:r>
          </w:p>
        </w:tc>
        <w:tc>
          <w:tcPr>
            <w:tcW w:w="11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居民总用户数量（户）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用户分布情况</w:t>
            </w:r>
          </w:p>
        </w:tc>
        <w:tc>
          <w:tcPr>
            <w:tcW w:w="108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存在隐患用户数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2017年12月到2018年5月燃气用户一氧化碳中毒情况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2017年12月到2018年5月燃气用户中毒人数（人）</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（持证上岗人数）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过往用户投诉举报数量（次）</w:t>
            </w:r>
          </w:p>
        </w:tc>
        <w:tc>
          <w:tcPr>
            <w:tcW w:w="88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6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自建房（）户；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商品房（）户</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 )起；中毒住院（）人，死亡（）人。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6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管道天然气</w:t>
            </w: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用户为租房占比%</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 )起；中毒住院（）人，死亡（）人。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6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630"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15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管道天然气</w:t>
            </w:r>
          </w:p>
        </w:tc>
        <w:tc>
          <w:tcPr>
            <w:tcW w:w="117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注意事项：1.该表请于2018年10月31日前完成填报，电子版请发送至邮箱：qbqrqz3892536@163.com；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2.其他未尽事宜请与钦北区燃气管理站联系，联系人：陈志英；联系电话：0777-3899416。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镇（街道）非职业性一氧化碳中毒事件情况数据统计表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（周报表X月X日—X日）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　　　联系人：　　　联系电话：</w:t>
      </w:r>
    </w:p>
    <w:tbl>
      <w:tblPr>
        <w:tblStyle w:val="13"/>
        <w:tblW w:w="5000" w:type="pct"/>
        <w:tblInd w:w="485" w:type="dxa"/>
        <w:tblLayout w:type="autofit"/>
        <w:tblCellMar>
          <w:top w:w="0" w:type="dxa"/>
          <w:left w:w="0" w:type="dxa"/>
          <w:bottom w:w="0" w:type="dxa"/>
          <w:right w:w="0" w:type="dxa"/>
        </w:tblCellMar>
      </w:tblPr>
      <w:tblGrid>
        <w:gridCol w:w="400"/>
        <w:gridCol w:w="580"/>
        <w:gridCol w:w="580"/>
        <w:gridCol w:w="400"/>
        <w:gridCol w:w="400"/>
        <w:gridCol w:w="400"/>
        <w:gridCol w:w="580"/>
        <w:gridCol w:w="670"/>
        <w:gridCol w:w="850"/>
        <w:gridCol w:w="580"/>
        <w:gridCol w:w="580"/>
        <w:gridCol w:w="580"/>
        <w:gridCol w:w="580"/>
        <w:gridCol w:w="1120"/>
        <w:gridCol w:w="760"/>
        <w:gridCol w:w="850"/>
        <w:gridCol w:w="1030"/>
        <w:gridCol w:w="580"/>
      </w:tblGrid>
      <w:tr>
        <w:tblPrEx>
          <w:tblCellMar>
            <w:top w:w="0" w:type="dxa"/>
            <w:left w:w="0" w:type="dxa"/>
            <w:bottom w:w="0" w:type="dxa"/>
            <w:right w:w="0" w:type="dxa"/>
          </w:tblCellMar>
        </w:tblPrEx>
        <w:trPr>
          <w:wBefore w:w="0" w:type="dxa"/>
          <w:trHeight w:val="480" w:hRule="atLeast"/>
        </w:trPr>
        <w:tc>
          <w:tcPr>
            <w:tcW w:w="775"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序号</w:t>
            </w:r>
          </w:p>
        </w:tc>
        <w:tc>
          <w:tcPr>
            <w:tcW w:w="955"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发生时间</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（月日小时分）</w:t>
            </w:r>
          </w:p>
        </w:tc>
        <w:tc>
          <w:tcPr>
            <w:tcW w:w="1360"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事件</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发生地</w:t>
            </w:r>
          </w:p>
        </w:tc>
        <w:tc>
          <w:tcPr>
            <w:tcW w:w="880"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中毒人数</w:t>
            </w:r>
          </w:p>
        </w:tc>
        <w:tc>
          <w:tcPr>
            <w:tcW w:w="940"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入院治疗人数</w:t>
            </w:r>
          </w:p>
        </w:tc>
        <w:tc>
          <w:tcPr>
            <w:tcW w:w="805"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死亡人数</w:t>
            </w:r>
          </w:p>
        </w:tc>
        <w:tc>
          <w:tcPr>
            <w:tcW w:w="1900" w:type="dxa"/>
            <w:gridSpan w:val="2"/>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中毒人员</w:t>
            </w:r>
          </w:p>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身份信息</w:t>
            </w:r>
          </w:p>
        </w:tc>
        <w:tc>
          <w:tcPr>
            <w:tcW w:w="1075"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中毒人员年龄</w:t>
            </w:r>
          </w:p>
        </w:tc>
        <w:tc>
          <w:tcPr>
            <w:tcW w:w="925"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中毒人员所处位置</w:t>
            </w:r>
          </w:p>
        </w:tc>
        <w:tc>
          <w:tcPr>
            <w:tcW w:w="1075"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房屋</w:t>
            </w:r>
          </w:p>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性质</w:t>
            </w:r>
          </w:p>
        </w:tc>
        <w:tc>
          <w:tcPr>
            <w:tcW w:w="1300"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一氧化碳</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来源初判</w:t>
            </w:r>
          </w:p>
        </w:tc>
        <w:tc>
          <w:tcPr>
            <w:tcW w:w="5380" w:type="dxa"/>
            <w:gridSpan w:val="5"/>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一氧化碳来源初步判断与燃气燃烧有关时填报</w:t>
            </w:r>
          </w:p>
        </w:tc>
        <w:tc>
          <w:tcPr>
            <w:tcW w:w="74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备注</w:t>
            </w:r>
          </w:p>
        </w:tc>
      </w:tr>
      <w:tr>
        <w:tblPrEx>
          <w:tblCellMar>
            <w:top w:w="0" w:type="dxa"/>
            <w:left w:w="0" w:type="dxa"/>
            <w:bottom w:w="0" w:type="dxa"/>
            <w:right w:w="0" w:type="dxa"/>
          </w:tblCellMar>
        </w:tblPrEx>
        <w:trPr>
          <w:wBefore w:w="0" w:type="dxa"/>
          <w:trHeight w:val="720" w:hRule="atLeast"/>
        </w:trPr>
        <w:tc>
          <w:tcPr>
            <w:tcW w:w="0" w:type="auto"/>
            <w:vMerge w:val="continue"/>
            <w:noWrap w:val="0"/>
            <w:vAlign w:val="center"/>
          </w:tcPr>
          <w:p>
            <w:pPr>
              <w:rPr>
                <w:rStyle w:val="14"/>
                <w:rFonts w:ascii="黑体" w:hAnsi="黑体" w:eastAsia="黑体" w:cs="黑体"/>
                <w:b w:val="0"/>
                <w:bCs w:val="0"/>
                <w:color w:val="000000"/>
                <w:sz w:val="18"/>
                <w:szCs w:val="18"/>
                <w:vertAlign w:val="baseline"/>
                <w:lang/>
              </w:rPr>
            </w:pPr>
          </w:p>
        </w:tc>
        <w:tc>
          <w:tcPr>
            <w:tcW w:w="0" w:type="auto"/>
            <w:vMerge w:val="continue"/>
            <w:noWrap w:val="0"/>
            <w:vAlign w:val="center"/>
          </w:tcPr>
          <w:p>
            <w:pPr>
              <w:rPr>
                <w:rStyle w:val="14"/>
                <w:rFonts w:ascii="黑体" w:hAnsi="黑体" w:eastAsia="黑体" w:cs="黑体"/>
                <w:b w:val="0"/>
                <w:bCs w:val="0"/>
                <w:color w:val="000000"/>
                <w:sz w:val="18"/>
                <w:szCs w:val="18"/>
                <w:vertAlign w:val="baseline"/>
                <w:lang/>
              </w:rPr>
            </w:pPr>
          </w:p>
        </w:tc>
        <w:tc>
          <w:tcPr>
            <w:tcW w:w="0" w:type="auto"/>
            <w:vMerge w:val="continue"/>
            <w:noWrap w:val="0"/>
            <w:vAlign w:val="center"/>
          </w:tcPr>
          <w:p>
            <w:pPr>
              <w:rPr>
                <w:rStyle w:val="14"/>
                <w:rFonts w:ascii="黑体" w:hAnsi="黑体" w:eastAsia="黑体" w:cs="黑体"/>
                <w:b w:val="0"/>
                <w:bCs w:val="0"/>
                <w:color w:val="000000"/>
                <w:sz w:val="18"/>
                <w:szCs w:val="18"/>
                <w:vertAlign w:val="baseline"/>
                <w:lang/>
              </w:rPr>
            </w:pPr>
          </w:p>
        </w:tc>
        <w:tc>
          <w:tcPr>
            <w:tcW w:w="0" w:type="auto"/>
            <w:vMerge w:val="continue"/>
            <w:noWrap w:val="0"/>
            <w:vAlign w:val="center"/>
          </w:tcPr>
          <w:p>
            <w:pPr>
              <w:rPr>
                <w:rStyle w:val="14"/>
                <w:rFonts w:ascii="黑体" w:hAnsi="黑体" w:eastAsia="黑体" w:cs="黑体"/>
                <w:b w:val="0"/>
                <w:bCs w:val="0"/>
                <w:color w:val="000000"/>
                <w:sz w:val="18"/>
                <w:szCs w:val="18"/>
                <w:vertAlign w:val="baseline"/>
                <w:lang/>
              </w:rPr>
            </w:pPr>
          </w:p>
        </w:tc>
        <w:tc>
          <w:tcPr>
            <w:tcW w:w="0" w:type="auto"/>
            <w:vMerge w:val="continue"/>
            <w:noWrap w:val="0"/>
            <w:vAlign w:val="center"/>
          </w:tcPr>
          <w:p>
            <w:pPr>
              <w:rPr>
                <w:rStyle w:val="14"/>
                <w:rFonts w:ascii="黑体" w:hAnsi="黑体" w:eastAsia="黑体" w:cs="黑体"/>
                <w:b w:val="0"/>
                <w:bCs w:val="0"/>
                <w:color w:val="000000"/>
                <w:sz w:val="18"/>
                <w:szCs w:val="18"/>
                <w:vertAlign w:val="baseline"/>
                <w:lang/>
              </w:rPr>
            </w:pPr>
          </w:p>
        </w:tc>
        <w:tc>
          <w:tcPr>
            <w:tcW w:w="0" w:type="auto"/>
            <w:vMerge w:val="continue"/>
            <w:noWrap w:val="0"/>
            <w:vAlign w:val="center"/>
          </w:tcPr>
          <w:p>
            <w:pPr>
              <w:rPr>
                <w:rStyle w:val="14"/>
                <w:rFonts w:ascii="黑体" w:hAnsi="黑体" w:eastAsia="黑体" w:cs="黑体"/>
                <w:b w:val="0"/>
                <w:bCs w:val="0"/>
                <w:color w:val="000000"/>
                <w:sz w:val="18"/>
                <w:szCs w:val="18"/>
                <w:vertAlign w:val="baseline"/>
                <w:lang/>
              </w:rPr>
            </w:pPr>
          </w:p>
        </w:tc>
        <w:tc>
          <w:tcPr>
            <w:tcW w:w="0" w:type="auto"/>
            <w:gridSpan w:val="2"/>
            <w:vMerge w:val="continue"/>
            <w:noWrap w:val="0"/>
            <w:vAlign w:val="center"/>
          </w:tcPr>
          <w:p>
            <w:pPr>
              <w:rPr>
                <w:rStyle w:val="14"/>
                <w:rFonts w:ascii="黑体" w:hAnsi="黑体" w:eastAsia="黑体" w:cs="黑体"/>
                <w:b w:val="0"/>
                <w:bCs w:val="0"/>
                <w:color w:val="000000"/>
                <w:sz w:val="18"/>
                <w:szCs w:val="18"/>
                <w:vertAlign w:val="baseline"/>
                <w:lang/>
              </w:rPr>
            </w:pPr>
          </w:p>
        </w:tc>
        <w:tc>
          <w:tcPr>
            <w:tcW w:w="0" w:type="auto"/>
            <w:vMerge w:val="continue"/>
            <w:noWrap w:val="0"/>
            <w:vAlign w:val="center"/>
          </w:tcPr>
          <w:p>
            <w:pPr>
              <w:rPr>
                <w:rStyle w:val="14"/>
                <w:rFonts w:ascii="黑体" w:hAnsi="黑体" w:eastAsia="黑体" w:cs="黑体"/>
                <w:b w:val="0"/>
                <w:bCs w:val="0"/>
                <w:color w:val="000000"/>
                <w:sz w:val="18"/>
                <w:szCs w:val="18"/>
                <w:vertAlign w:val="baseline"/>
                <w:lang/>
              </w:rPr>
            </w:pPr>
          </w:p>
        </w:tc>
        <w:tc>
          <w:tcPr>
            <w:tcW w:w="0" w:type="auto"/>
            <w:vMerge w:val="continue"/>
            <w:noWrap w:val="0"/>
            <w:vAlign w:val="center"/>
          </w:tcPr>
          <w:p>
            <w:pPr>
              <w:rPr>
                <w:rStyle w:val="14"/>
                <w:rFonts w:ascii="黑体" w:hAnsi="黑体" w:eastAsia="黑体" w:cs="黑体"/>
                <w:b w:val="0"/>
                <w:bCs w:val="0"/>
                <w:color w:val="000000"/>
                <w:sz w:val="18"/>
                <w:szCs w:val="18"/>
                <w:vertAlign w:val="baseline"/>
                <w:lang/>
              </w:rPr>
            </w:pPr>
          </w:p>
        </w:tc>
        <w:tc>
          <w:tcPr>
            <w:tcW w:w="0" w:type="auto"/>
            <w:vMerge w:val="continue"/>
            <w:noWrap w:val="0"/>
            <w:vAlign w:val="center"/>
          </w:tcPr>
          <w:p>
            <w:pPr>
              <w:rPr>
                <w:rStyle w:val="14"/>
                <w:rFonts w:ascii="黑体" w:hAnsi="黑体" w:eastAsia="黑体" w:cs="黑体"/>
                <w:b w:val="0"/>
                <w:bCs w:val="0"/>
                <w:color w:val="000000"/>
                <w:sz w:val="18"/>
                <w:szCs w:val="18"/>
                <w:vertAlign w:val="baseline"/>
                <w:lang/>
              </w:rPr>
            </w:pPr>
          </w:p>
        </w:tc>
        <w:tc>
          <w:tcPr>
            <w:tcW w:w="0" w:type="auto"/>
            <w:vMerge w:val="continue"/>
            <w:noWrap w:val="0"/>
            <w:vAlign w:val="center"/>
          </w:tcPr>
          <w:p>
            <w:pPr>
              <w:rPr>
                <w:rStyle w:val="14"/>
                <w:rFonts w:ascii="黑体" w:hAnsi="黑体" w:eastAsia="黑体" w:cs="黑体"/>
                <w:b w:val="0"/>
                <w:bCs w:val="0"/>
                <w:color w:val="000000"/>
                <w:sz w:val="18"/>
                <w:szCs w:val="18"/>
                <w:vertAlign w:val="baseline"/>
                <w:lang/>
              </w:rPr>
            </w:pPr>
          </w:p>
        </w:tc>
        <w:tc>
          <w:tcPr>
            <w:tcW w:w="142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涉事热水器、灶具安装位置</w:t>
            </w:r>
          </w:p>
        </w:tc>
        <w:tc>
          <w:tcPr>
            <w:tcW w:w="113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涉事热水器、灶具品牌批号</w:t>
            </w:r>
          </w:p>
        </w:tc>
        <w:tc>
          <w:tcPr>
            <w:tcW w:w="130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热水器、灶具安装单位（人）</w:t>
            </w:r>
          </w:p>
        </w:tc>
        <w:tc>
          <w:tcPr>
            <w:tcW w:w="106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涉事供气钢瓶\管道权属单位</w:t>
            </w:r>
          </w:p>
        </w:tc>
        <w:tc>
          <w:tcPr>
            <w:tcW w:w="134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涉事钢瓶提供点（人）</w:t>
            </w:r>
          </w:p>
        </w:tc>
        <w:tc>
          <w:tcPr>
            <w:tcW w:w="74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2490" w:hRule="atLeast"/>
        </w:trPr>
        <w:tc>
          <w:tcPr>
            <w:tcW w:w="0" w:type="auto"/>
            <w:vMerge w:val="continue"/>
            <w:noWrap w:val="0"/>
            <w:vAlign w:val="center"/>
          </w:tcPr>
          <w:p>
            <w:pPr>
              <w:rPr>
                <w:rFonts w:ascii="Arial" w:hAnsi="Arial" w:eastAsia="Arial" w:cs="Arial"/>
                <w:b w:val="0"/>
                <w:bCs w:val="0"/>
                <w:color w:val="000000"/>
                <w:sz w:val="27"/>
                <w:szCs w:val="27"/>
                <w:lang/>
              </w:rPr>
            </w:pPr>
          </w:p>
        </w:tc>
        <w:tc>
          <w:tcPr>
            <w:tcW w:w="0" w:type="auto"/>
            <w:vMerge w:val="continue"/>
            <w:noWrap w:val="0"/>
            <w:vAlign w:val="center"/>
          </w:tcPr>
          <w:p>
            <w:pPr>
              <w:rPr>
                <w:rFonts w:ascii="Arial" w:hAnsi="Arial" w:eastAsia="Arial" w:cs="Arial"/>
                <w:b w:val="0"/>
                <w:bCs w:val="0"/>
                <w:color w:val="000000"/>
                <w:sz w:val="27"/>
                <w:szCs w:val="27"/>
                <w:lang/>
              </w:rPr>
            </w:pPr>
          </w:p>
        </w:tc>
        <w:tc>
          <w:tcPr>
            <w:tcW w:w="0" w:type="auto"/>
            <w:vMerge w:val="continue"/>
            <w:noWrap w:val="0"/>
            <w:vAlign w:val="center"/>
          </w:tcPr>
          <w:p>
            <w:pPr>
              <w:rPr>
                <w:rFonts w:ascii="Arial" w:hAnsi="Arial" w:eastAsia="Arial" w:cs="Arial"/>
                <w:b w:val="0"/>
                <w:bCs w:val="0"/>
                <w:color w:val="000000"/>
                <w:sz w:val="27"/>
                <w:szCs w:val="27"/>
                <w:lang/>
              </w:rPr>
            </w:pPr>
          </w:p>
        </w:tc>
        <w:tc>
          <w:tcPr>
            <w:tcW w:w="0" w:type="auto"/>
            <w:vMerge w:val="continue"/>
            <w:noWrap w:val="0"/>
            <w:vAlign w:val="center"/>
          </w:tcPr>
          <w:p>
            <w:pPr>
              <w:rPr>
                <w:rFonts w:ascii="Arial" w:hAnsi="Arial" w:eastAsia="Arial" w:cs="Arial"/>
                <w:b w:val="0"/>
                <w:bCs w:val="0"/>
                <w:color w:val="000000"/>
                <w:sz w:val="27"/>
                <w:szCs w:val="27"/>
                <w:lang/>
              </w:rPr>
            </w:pPr>
          </w:p>
        </w:tc>
        <w:tc>
          <w:tcPr>
            <w:tcW w:w="0" w:type="auto"/>
            <w:vMerge w:val="continue"/>
            <w:noWrap w:val="0"/>
            <w:vAlign w:val="center"/>
          </w:tcPr>
          <w:p>
            <w:pPr>
              <w:rPr>
                <w:rFonts w:ascii="Arial" w:hAnsi="Arial" w:eastAsia="Arial" w:cs="Arial"/>
                <w:b w:val="0"/>
                <w:bCs w:val="0"/>
                <w:color w:val="000000"/>
                <w:sz w:val="27"/>
                <w:szCs w:val="27"/>
                <w:lang/>
              </w:rPr>
            </w:pPr>
          </w:p>
        </w:tc>
        <w:tc>
          <w:tcPr>
            <w:tcW w:w="0" w:type="auto"/>
            <w:vMerge w:val="continue"/>
            <w:noWrap w:val="0"/>
            <w:vAlign w:val="center"/>
          </w:tcPr>
          <w:p>
            <w:pPr>
              <w:rPr>
                <w:rFonts w:ascii="Arial" w:hAnsi="Arial" w:eastAsia="Arial" w:cs="Arial"/>
                <w:b w:val="0"/>
                <w:bCs w:val="0"/>
                <w:color w:val="000000"/>
                <w:sz w:val="27"/>
                <w:szCs w:val="27"/>
                <w:lang/>
              </w:rPr>
            </w:pPr>
          </w:p>
        </w:tc>
        <w:tc>
          <w:tcPr>
            <w:tcW w:w="101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一、A所有权人</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B非所有权人</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承租人B1</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借住人B2</w:t>
            </w:r>
          </w:p>
        </w:tc>
        <w:tc>
          <w:tcPr>
            <w:tcW w:w="110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二、A机关单位</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B企业</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C自由</w:t>
            </w:r>
          </w:p>
          <w:p>
            <w:pPr>
              <w:pStyle w:val="12"/>
              <w:pBdr>
                <w:top w:val="none" w:color="auto" w:sz="0" w:space="0"/>
                <w:left w:val="none" w:color="auto" w:sz="0" w:space="0"/>
                <w:bottom w:val="none" w:color="auto" w:sz="0" w:space="0"/>
                <w:right w:val="none" w:color="auto" w:sz="0" w:space="0"/>
              </w:pBdr>
              <w:spacing w:before="0" w:after="0" w:line="285" w:lineRule="atLeast"/>
              <w:ind w:left="0" w:right="0" w:firstLine="9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职业</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D无业</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E学生</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F农民</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G离退休</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H其他</w:t>
            </w:r>
          </w:p>
        </w:tc>
        <w:tc>
          <w:tcPr>
            <w:tcW w:w="107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三、年龄</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(死者年龄)</w:t>
            </w:r>
          </w:p>
        </w:tc>
        <w:tc>
          <w:tcPr>
            <w:tcW w:w="92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四、A浴室</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B厨房</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C客厅</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D卧室</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（涉事场所面积m</w:t>
            </w:r>
            <w:r>
              <w:rPr>
                <w:rStyle w:val="14"/>
                <w:rFonts w:ascii="黑体" w:hAnsi="黑体" w:eastAsia="黑体" w:cs="黑体"/>
                <w:b w:val="0"/>
                <w:bCs w:val="0"/>
                <w:color w:val="000000"/>
                <w:sz w:val="27"/>
                <w:szCs w:val="27"/>
                <w:vertAlign w:val="superscript"/>
                <w:lang/>
              </w:rPr>
              <w:t>2</w:t>
            </w:r>
            <w:r>
              <w:rPr>
                <w:rStyle w:val="14"/>
                <w:rFonts w:ascii="黑体" w:hAnsi="黑体" w:eastAsia="黑体" w:cs="黑体"/>
                <w:b w:val="0"/>
                <w:bCs w:val="0"/>
                <w:color w:val="000000"/>
                <w:sz w:val="18"/>
                <w:szCs w:val="18"/>
                <w:vertAlign w:val="baseline"/>
                <w:lang/>
              </w:rPr>
              <w:t>）</w:t>
            </w:r>
          </w:p>
        </w:tc>
        <w:tc>
          <w:tcPr>
            <w:tcW w:w="107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五、A商品房</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B自建房</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C政策性房</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D小产权房</w:t>
            </w:r>
          </w:p>
        </w:tc>
        <w:tc>
          <w:tcPr>
            <w:tcW w:w="130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六、A燃气器具（热水器、灶具）</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B煤炭柴火</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C废气尾气</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D其他（说明）</w:t>
            </w:r>
          </w:p>
        </w:tc>
        <w:tc>
          <w:tcPr>
            <w:tcW w:w="142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七、热水器安装在</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A1浴室内</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A2浴室外灶具安装在</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B1厨房内</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B2厨房外</w:t>
            </w:r>
          </w:p>
        </w:tc>
        <w:tc>
          <w:tcPr>
            <w:tcW w:w="113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八、品牌：</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br w:type="textWrapping" w:clear="none"/>
            </w:r>
            <w:r>
              <w:rPr>
                <w:rStyle w:val="14"/>
                <w:rFonts w:ascii="黑体" w:hAnsi="黑体" w:eastAsia="黑体" w:cs="黑体"/>
                <w:b w:val="0"/>
                <w:bCs w:val="0"/>
                <w:color w:val="000000"/>
                <w:sz w:val="18"/>
                <w:szCs w:val="18"/>
                <w:vertAlign w:val="baseline"/>
                <w:lang/>
              </w:rPr>
              <w:t>批号：</w:t>
            </w:r>
          </w:p>
        </w:tc>
        <w:tc>
          <w:tcPr>
            <w:tcW w:w="130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九、A产品销售商（名称）</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B住户</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C租户</w:t>
            </w:r>
            <w:r>
              <w:rPr>
                <w:rStyle w:val="14"/>
                <w:rFonts w:ascii="黑体" w:hAnsi="黑体" w:eastAsia="黑体" w:cs="黑体"/>
                <w:b w:val="0"/>
                <w:bCs w:val="0"/>
                <w:color w:val="000000"/>
                <w:sz w:val="18"/>
                <w:szCs w:val="18"/>
                <w:vertAlign w:val="baseline"/>
                <w:lang/>
              </w:rPr>
              <w:br w:type="textWrapping"/>
            </w:r>
            <w:r>
              <w:rPr>
                <w:rStyle w:val="14"/>
                <w:rFonts w:ascii="黑体" w:hAnsi="黑体" w:eastAsia="黑体" w:cs="黑体"/>
                <w:b w:val="0"/>
                <w:bCs w:val="0"/>
                <w:color w:val="000000"/>
                <w:sz w:val="18"/>
                <w:szCs w:val="18"/>
                <w:vertAlign w:val="baseline"/>
                <w:lang/>
              </w:rPr>
              <w:t>D请人</w:t>
            </w:r>
          </w:p>
        </w:tc>
        <w:tc>
          <w:tcPr>
            <w:tcW w:w="106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18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十、（ ）燃气</w:t>
            </w:r>
          </w:p>
          <w:p>
            <w:pPr>
              <w:pStyle w:val="12"/>
              <w:pBdr>
                <w:top w:val="none" w:color="auto" w:sz="0" w:space="0"/>
                <w:left w:val="none" w:color="auto" w:sz="0" w:space="0"/>
                <w:bottom w:val="none" w:color="auto" w:sz="0" w:space="0"/>
                <w:right w:val="none" w:color="auto" w:sz="0" w:space="0"/>
              </w:pBdr>
              <w:spacing w:before="0" w:after="0" w:line="285" w:lineRule="atLeast"/>
              <w:ind w:left="0" w:right="0" w:firstLine="18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公司</w:t>
            </w:r>
          </w:p>
        </w:tc>
        <w:tc>
          <w:tcPr>
            <w:tcW w:w="134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十一、供气地址、送气人名、电话</w:t>
            </w:r>
          </w:p>
        </w:tc>
        <w:tc>
          <w:tcPr>
            <w:tcW w:w="74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both"/>
              <w:textAlignment w:val="baseline"/>
              <w:rPr>
                <w:rFonts w:ascii="Calibri" w:hAnsi="Calibri" w:eastAsia="Calibri" w:cs="Calibri"/>
                <w:b w:val="0"/>
                <w:bCs w:val="0"/>
                <w:color w:val="000000"/>
                <w:sz w:val="21"/>
                <w:szCs w:val="21"/>
                <w:lang/>
              </w:rPr>
            </w:pPr>
            <w:r>
              <w:rPr>
                <w:rStyle w:val="14"/>
                <w:rFonts w:ascii="黑体" w:hAnsi="黑体" w:eastAsia="黑体" w:cs="黑体"/>
                <w:b w:val="0"/>
                <w:bCs w:val="0"/>
                <w:color w:val="000000"/>
                <w:sz w:val="18"/>
                <w:szCs w:val="18"/>
                <w:vertAlign w:val="baseline"/>
                <w:lang/>
              </w:rPr>
              <w:t>十二、每周五提交</w:t>
            </w:r>
          </w:p>
        </w:tc>
      </w:tr>
      <w:tr>
        <w:tblPrEx>
          <w:tblCellMar>
            <w:top w:w="0" w:type="dxa"/>
            <w:left w:w="0" w:type="dxa"/>
            <w:bottom w:w="0" w:type="dxa"/>
            <w:right w:w="0" w:type="dxa"/>
          </w:tblCellMar>
        </w:tblPrEx>
        <w:trPr>
          <w:wBefore w:w="0" w:type="dxa"/>
          <w:trHeight w:val="1275" w:hRule="atLeast"/>
        </w:trPr>
        <w:tc>
          <w:tcPr>
            <w:tcW w:w="77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样例1</w:t>
            </w:r>
          </w:p>
        </w:tc>
        <w:tc>
          <w:tcPr>
            <w:tcW w:w="95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2月9日22点14分</w:t>
            </w:r>
          </w:p>
        </w:tc>
        <w:tc>
          <w:tcPr>
            <w:tcW w:w="136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XX镇（街道）XX路X号X小区（X单位）X栋X房号</w:t>
            </w:r>
          </w:p>
        </w:tc>
        <w:tc>
          <w:tcPr>
            <w:tcW w:w="88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3</w:t>
            </w:r>
          </w:p>
        </w:tc>
        <w:tc>
          <w:tcPr>
            <w:tcW w:w="94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2</w:t>
            </w:r>
          </w:p>
        </w:tc>
        <w:tc>
          <w:tcPr>
            <w:tcW w:w="80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1</w:t>
            </w:r>
          </w:p>
        </w:tc>
        <w:tc>
          <w:tcPr>
            <w:tcW w:w="101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B1</w:t>
            </w:r>
          </w:p>
        </w:tc>
        <w:tc>
          <w:tcPr>
            <w:tcW w:w="110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A;F;E</w:t>
            </w:r>
          </w:p>
        </w:tc>
        <w:tc>
          <w:tcPr>
            <w:tcW w:w="107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30;29;8</w:t>
            </w:r>
            <w:r>
              <w:rPr>
                <w:rStyle w:val="14"/>
                <w:rFonts w:ascii="宋体" w:hAnsi="宋体" w:eastAsia="宋体" w:cs="宋体"/>
                <w:b w:val="0"/>
                <w:bCs w:val="0"/>
                <w:color w:val="000000"/>
                <w:sz w:val="18"/>
                <w:szCs w:val="18"/>
                <w:vertAlign w:val="baseline"/>
                <w:lang/>
              </w:rPr>
              <w:br w:type="textWrapping"/>
            </w:r>
            <w:r>
              <w:rPr>
                <w:rStyle w:val="14"/>
                <w:rFonts w:ascii="宋体" w:hAnsi="宋体" w:eastAsia="宋体" w:cs="宋体"/>
                <w:b w:val="0"/>
                <w:bCs w:val="0"/>
                <w:color w:val="000000"/>
                <w:sz w:val="18"/>
                <w:szCs w:val="18"/>
                <w:vertAlign w:val="baseline"/>
                <w:lang/>
              </w:rPr>
              <w:t>（8）</w:t>
            </w:r>
          </w:p>
        </w:tc>
        <w:tc>
          <w:tcPr>
            <w:tcW w:w="92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A（25平米）</w:t>
            </w:r>
          </w:p>
        </w:tc>
        <w:tc>
          <w:tcPr>
            <w:tcW w:w="107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B</w:t>
            </w:r>
          </w:p>
        </w:tc>
        <w:tc>
          <w:tcPr>
            <w:tcW w:w="130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A</w:t>
            </w:r>
          </w:p>
        </w:tc>
        <w:tc>
          <w:tcPr>
            <w:tcW w:w="142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A1</w:t>
            </w:r>
          </w:p>
        </w:tc>
        <w:tc>
          <w:tcPr>
            <w:tcW w:w="113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xxx牌；</w:t>
            </w:r>
            <w:r>
              <w:rPr>
                <w:rStyle w:val="14"/>
                <w:rFonts w:ascii="宋体" w:hAnsi="宋体" w:eastAsia="宋体" w:cs="宋体"/>
                <w:b w:val="0"/>
                <w:bCs w:val="0"/>
                <w:color w:val="000000"/>
                <w:sz w:val="18"/>
                <w:szCs w:val="18"/>
                <w:vertAlign w:val="baseline"/>
                <w:lang/>
              </w:rPr>
              <w:br w:type="textWrapping"/>
            </w:r>
            <w:r>
              <w:rPr>
                <w:rStyle w:val="14"/>
                <w:rFonts w:ascii="宋体" w:hAnsi="宋体" w:eastAsia="宋体" w:cs="宋体"/>
                <w:b w:val="0"/>
                <w:bCs w:val="0"/>
                <w:color w:val="000000"/>
                <w:sz w:val="18"/>
                <w:szCs w:val="18"/>
                <w:vertAlign w:val="baseline"/>
                <w:lang/>
              </w:rPr>
              <w:t>批次：20091023AB</w:t>
            </w:r>
          </w:p>
        </w:tc>
        <w:tc>
          <w:tcPr>
            <w:tcW w:w="130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A：XXX电器销售公司</w:t>
            </w:r>
          </w:p>
        </w:tc>
        <w:tc>
          <w:tcPr>
            <w:tcW w:w="106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钢瓶为XX燃气公司</w:t>
            </w:r>
          </w:p>
        </w:tc>
        <w:tc>
          <w:tcPr>
            <w:tcW w:w="134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XX路XX号XX液化气公司营业部；张三；139xxxxxx</w:t>
            </w:r>
          </w:p>
        </w:tc>
        <w:tc>
          <w:tcPr>
            <w:tcW w:w="74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85" w:lineRule="atLeast"/>
              <w:ind w:left="0" w:right="0" w:firstLine="0"/>
              <w:jc w:val="center"/>
              <w:textAlignment w:val="baseline"/>
              <w:rPr>
                <w:rFonts w:ascii="Calibri" w:hAnsi="Calibri" w:eastAsia="Calibri" w:cs="Calibri"/>
                <w:b w:val="0"/>
                <w:bCs w:val="0"/>
                <w:color w:val="000000"/>
                <w:sz w:val="21"/>
                <w:szCs w:val="21"/>
                <w:lang/>
              </w:rPr>
            </w:pPr>
            <w:r>
              <w:rPr>
                <w:rStyle w:val="14"/>
                <w:rFonts w:ascii="宋体" w:hAnsi="宋体" w:eastAsia="宋体" w:cs="宋体"/>
                <w:b w:val="0"/>
                <w:bCs w:val="0"/>
                <w:color w:val="000000"/>
                <w:sz w:val="18"/>
                <w:szCs w:val="18"/>
                <w:vertAlign w:val="baseline"/>
                <w:lang/>
              </w:rPr>
              <w:t>其他信息</w:t>
            </w:r>
          </w:p>
        </w:tc>
      </w:tr>
      <w:tr>
        <w:tblPrEx>
          <w:tblCellMar>
            <w:top w:w="0" w:type="dxa"/>
            <w:left w:w="0" w:type="dxa"/>
            <w:bottom w:w="0" w:type="dxa"/>
            <w:right w:w="0" w:type="dxa"/>
          </w:tblCellMar>
        </w:tblPrEx>
        <w:trPr>
          <w:wBefore w:w="0" w:type="dxa"/>
          <w:trHeight w:val="2250" w:hRule="atLeast"/>
        </w:trPr>
        <w:tc>
          <w:tcPr>
            <w:tcW w:w="15460" w:type="dxa"/>
            <w:gridSpan w:val="18"/>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Calibri" w:hAnsi="Calibri" w:eastAsia="Calibri" w:cs="Calibri"/>
                <w:b w:val="0"/>
                <w:bCs w:val="0"/>
                <w:color w:val="000000"/>
                <w:sz w:val="21"/>
                <w:szCs w:val="21"/>
                <w:lang/>
              </w:rPr>
            </w:pPr>
            <w:r>
              <w:rPr>
                <w:rStyle w:val="14"/>
                <w:rFonts w:ascii="宋体" w:hAnsi="宋体" w:eastAsia="宋体" w:cs="宋体"/>
                <w:b/>
                <w:bCs/>
                <w:color w:val="000000"/>
                <w:sz w:val="18"/>
                <w:szCs w:val="18"/>
                <w:vertAlign w:val="baseline"/>
                <w:lang/>
              </w:rPr>
              <w:t>一、表格说明：</w:t>
            </w:r>
            <w:r>
              <w:rPr>
                <w:rStyle w:val="14"/>
                <w:rFonts w:ascii="宋体" w:hAnsi="宋体" w:eastAsia="宋体" w:cs="宋体"/>
                <w:b w:val="0"/>
                <w:bCs w:val="0"/>
                <w:color w:val="000000"/>
                <w:sz w:val="18"/>
                <w:szCs w:val="18"/>
                <w:vertAlign w:val="baseline"/>
                <w:lang/>
              </w:rPr>
              <w:t>（一）所有权人：中毒人员为房产证载明的持有人和/或共有人，或者与其同住的父母、配偶、子女。（二）承租：中毒人员以合同协议等形式，通过支付租金等方式获得房屋的居住权和使用权。（三）借住：中毒人员为非房产证载明的持有人和/或共有人。（四）政策性房：包括房改住房、集资建房、经济适用住房、限价商品住房、市场运作建房、危旧房改住房改造还建（或非还建）住房、廉（公）租房等。（五）小产权房：在集体土地上建设的、无法或没有办理产权证的房屋。（六）棚户区改造区域内和城中村区域内的房屋，根据其对应的政策和建设、改造原则确定。</w:t>
            </w:r>
            <w:r>
              <w:rPr>
                <w:rStyle w:val="14"/>
                <w:rFonts w:ascii="宋体" w:hAnsi="宋体" w:eastAsia="宋体" w:cs="宋体"/>
                <w:b w:val="0"/>
                <w:bCs w:val="0"/>
                <w:color w:val="000000"/>
                <w:sz w:val="18"/>
                <w:szCs w:val="18"/>
                <w:vertAlign w:val="baseline"/>
                <w:lang/>
              </w:rPr>
              <w:br w:type="textWrapping"/>
            </w:r>
            <w:r>
              <w:rPr>
                <w:rStyle w:val="14"/>
                <w:rFonts w:ascii="宋体" w:hAnsi="宋体" w:eastAsia="宋体" w:cs="宋体"/>
                <w:b/>
                <w:bCs/>
                <w:color w:val="000000"/>
                <w:sz w:val="18"/>
                <w:szCs w:val="18"/>
                <w:vertAlign w:val="baseline"/>
                <w:lang/>
              </w:rPr>
              <w:t>二、表格填写</w:t>
            </w:r>
            <w:r>
              <w:rPr>
                <w:rStyle w:val="14"/>
                <w:rFonts w:ascii="宋体" w:hAnsi="宋体" w:eastAsia="宋体" w:cs="宋体"/>
                <w:b w:val="0"/>
                <w:bCs w:val="0"/>
                <w:color w:val="000000"/>
                <w:sz w:val="18"/>
                <w:szCs w:val="18"/>
                <w:vertAlign w:val="baseline"/>
                <w:lang/>
              </w:rPr>
              <w:t>：（一）事故状态下，110或120应在第一时间到达事故现场。公安部门或医疗机构现场人员应尽可能填写上列信息。（二）在确保现场保持原状的前提下，公安部门或医疗机构应按照职责，自行开展事故原因调查并完成表格填写；或通过地方应急部门协调安监部门开展事故原因调查，并完成表格填写。（三）事故调查牵头部门可通过地方应急部门协调，委托社区、街道办、居委会、村委会等基层组织，或者后勤服务中心、物业公司等，完成表格填写。（四）各地联席办或应急办，根据现场信息采集纸质材料，完成本电子表格填写和汇总。</w:t>
            </w:r>
          </w:p>
          <w:p>
            <w:pPr>
              <w:pStyle w:val="12"/>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Calibri" w:hAnsi="Calibri" w:eastAsia="Calibri" w:cs="Calibri"/>
                <w:b w:val="0"/>
                <w:bCs w:val="0"/>
                <w:color w:val="000000"/>
                <w:sz w:val="21"/>
                <w:szCs w:val="21"/>
                <w:lang/>
              </w:rPr>
            </w:pPr>
            <w:r>
              <w:rPr>
                <w:rStyle w:val="14"/>
                <w:rFonts w:ascii="宋体" w:hAnsi="宋体" w:eastAsia="宋体" w:cs="宋体"/>
                <w:b/>
                <w:bCs/>
                <w:color w:val="000000"/>
                <w:sz w:val="18"/>
                <w:szCs w:val="18"/>
                <w:vertAlign w:val="baseline"/>
                <w:lang/>
              </w:rPr>
              <w:t>三、汇总汇报</w:t>
            </w:r>
            <w:r>
              <w:rPr>
                <w:rStyle w:val="14"/>
                <w:rFonts w:ascii="宋体" w:hAnsi="宋体" w:eastAsia="宋体" w:cs="宋体"/>
                <w:b w:val="0"/>
                <w:bCs w:val="0"/>
                <w:color w:val="000000"/>
                <w:sz w:val="18"/>
                <w:szCs w:val="18"/>
                <w:vertAlign w:val="baseline"/>
                <w:lang/>
              </w:rPr>
              <w:t>：（一）自2018年3月1日起，本电子表格由各县、区联席办（燃气主管部门）每周五下午下班前汇总所辖县（区）信息后报区联席办（钦北区燃气管理站）邮箱：</w:t>
            </w:r>
            <w:r>
              <w:rPr>
                <w:rStyle w:val="14"/>
                <w:rFonts w:ascii="仿宋_GB2312" w:hAnsi="仿宋_GB2312" w:eastAsia="仿宋_GB2312" w:cs="仿宋_GB2312"/>
                <w:b w:val="0"/>
                <w:bCs w:val="0"/>
                <w:color w:val="000000"/>
                <w:sz w:val="24"/>
                <w:szCs w:val="24"/>
                <w:vertAlign w:val="baseline"/>
                <w:lang/>
              </w:rPr>
              <w:t>qbqrqz3892536</w:t>
            </w:r>
            <w:r>
              <w:rPr>
                <w:rStyle w:val="14"/>
                <w:rFonts w:ascii="黑体" w:hAnsi="黑体" w:eastAsia="黑体" w:cs="黑体"/>
                <w:b w:val="0"/>
                <w:bCs w:val="0"/>
                <w:color w:val="000000"/>
                <w:sz w:val="24"/>
                <w:szCs w:val="24"/>
                <w:vertAlign w:val="baseline"/>
                <w:lang/>
              </w:rPr>
              <w:t>@</w:t>
            </w:r>
            <w:r>
              <w:rPr>
                <w:rStyle w:val="14"/>
                <w:rFonts w:ascii="仿宋_GB2312" w:hAnsi="仿宋_GB2312" w:eastAsia="仿宋_GB2312" w:cs="仿宋_GB2312"/>
                <w:b w:val="0"/>
                <w:bCs w:val="0"/>
                <w:color w:val="000000"/>
                <w:sz w:val="24"/>
                <w:szCs w:val="24"/>
                <w:vertAlign w:val="baseline"/>
                <w:lang/>
              </w:rPr>
              <w:t>163.com</w:t>
            </w:r>
            <w:r>
              <w:rPr>
                <w:rStyle w:val="14"/>
                <w:rFonts w:ascii="宋体" w:hAnsi="宋体" w:eastAsia="宋体" w:cs="宋体"/>
                <w:b w:val="0"/>
                <w:bCs w:val="0"/>
                <w:color w:val="000000"/>
                <w:sz w:val="21"/>
                <w:szCs w:val="21"/>
                <w:vertAlign w:val="baseline"/>
                <w:lang/>
              </w:rPr>
              <w:t>。</w:t>
            </w:r>
            <w:r>
              <w:rPr>
                <w:rStyle w:val="14"/>
                <w:rFonts w:ascii="宋体" w:hAnsi="宋体" w:eastAsia="宋体" w:cs="宋体"/>
                <w:b w:val="0"/>
                <w:bCs w:val="0"/>
                <w:color w:val="000000"/>
                <w:sz w:val="18"/>
                <w:szCs w:val="18"/>
                <w:vertAlign w:val="baseline"/>
                <w:lang/>
              </w:rPr>
              <w:t>（二）当地成立预防一氧化碳中毒联席会议后，由联席会议牵头部门商当地应急办，于每周五下午下班前由县、区级联席办或应急办汇总辖区信息后报市联席办、市应急办（纸质材料扫描随附）。</w:t>
            </w:r>
          </w:p>
          <w:p>
            <w:pPr>
              <w:pStyle w:val="12"/>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Calibri" w:hAnsi="Calibri" w:eastAsia="Calibri" w:cs="Calibri"/>
                <w:b w:val="0"/>
                <w:bCs w:val="0"/>
                <w:color w:val="000000"/>
                <w:sz w:val="21"/>
                <w:szCs w:val="21"/>
                <w:lang/>
              </w:rPr>
            </w:pPr>
            <w:r>
              <w:rPr>
                <w:rStyle w:val="14"/>
                <w:rFonts w:ascii="宋体" w:hAnsi="宋体" w:eastAsia="宋体" w:cs="宋体"/>
                <w:b/>
                <w:bCs/>
                <w:color w:val="000000"/>
                <w:sz w:val="18"/>
                <w:szCs w:val="18"/>
                <w:vertAlign w:val="baseline"/>
                <w:lang/>
              </w:rPr>
              <w:t>四、其他说明：</w:t>
            </w:r>
            <w:r>
              <w:rPr>
                <w:rStyle w:val="14"/>
                <w:rFonts w:ascii="宋体" w:hAnsi="宋体" w:eastAsia="宋体" w:cs="宋体"/>
                <w:b w:val="0"/>
                <w:bCs w:val="0"/>
                <w:color w:val="000000"/>
                <w:sz w:val="18"/>
                <w:szCs w:val="18"/>
                <w:vertAlign w:val="baseline"/>
                <w:lang/>
              </w:rPr>
              <w:t>表内未尽事宜请与钦北区燃气管理站联系，联系人：陈志英；电话：</w:t>
            </w:r>
            <w:r>
              <w:rPr>
                <w:rStyle w:val="14"/>
                <w:rFonts w:ascii="宋体" w:hAnsi="宋体" w:eastAsia="宋体" w:cs="宋体"/>
                <w:b/>
                <w:bCs/>
                <w:color w:val="000000"/>
                <w:sz w:val="21"/>
                <w:szCs w:val="21"/>
                <w:vertAlign w:val="baseline"/>
                <w:lang/>
              </w:rPr>
              <w:t>0777-3899416</w:t>
            </w:r>
            <w:r>
              <w:rPr>
                <w:rStyle w:val="14"/>
                <w:rFonts w:ascii="宋体" w:hAnsi="宋体" w:eastAsia="宋体" w:cs="宋体"/>
                <w:b w:val="0"/>
                <w:bCs w:val="0"/>
                <w:color w:val="000000"/>
                <w:sz w:val="18"/>
                <w:szCs w:val="18"/>
                <w:vertAlign w:val="baseline"/>
                <w:lang/>
              </w:rPr>
              <w:t>。</w:t>
            </w:r>
          </w:p>
          <w:p>
            <w:pPr>
              <w:pStyle w:val="12"/>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Calibri" w:hAnsi="Calibri" w:eastAsia="Calibri" w:cs="Calibri"/>
                <w:b w:val="0"/>
                <w:bCs w:val="0"/>
                <w:color w:val="000000"/>
                <w:sz w:val="21"/>
                <w:szCs w:val="21"/>
                <w:lang/>
              </w:rPr>
            </w:pPr>
            <w:r>
              <w:rPr>
                <w:rStyle w:val="14"/>
                <w:rFonts w:ascii="宋体" w:hAnsi="宋体" w:eastAsia="宋体" w:cs="宋体"/>
                <w:b/>
                <w:bCs/>
                <w:color w:val="000000"/>
                <w:sz w:val="18"/>
                <w:szCs w:val="18"/>
                <w:vertAlign w:val="baseline"/>
                <w:lang/>
              </w:rPr>
              <w:t>五、填写人信息（正楷）：姓名1： 工作单位： 联系电话： 姓名2： 工作单位： 联系电话：</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"https://www.pkulaw.com/lar/fb1f5b7a7a03d81f08872b2253046eaebdfb.html"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https://www.pkulaw.com/lar/fb1f5b7a7a03d81f08872b2253046eaebdfb.html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【法宝引证码】CLI.14.4170988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2457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 w:type="character" w:customStyle="1" w:styleId="14">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2023-01-28T15:48:01Z</dcterms:created>
  <dc:creator>xmintie.</dc:creator>
  <cp:lastModifiedBy>xmintie.</cp:lastModifiedBy>
  <dcterms:modified xsi:type="dcterms:W3CDTF">2023-01-28T15:48:02Z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F521C0DAF25F4C8383F3D111B41607B6</vt:lpwstr>
  </property>
</Properties>
</file>