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新疆维吾尔自治区发展改革委、新疆维吾尔自治区工业和信息化厅、人民银行乌鲁木齐中心支行关于开展新能源项目及节能降碳项目贴息支持试点工作的通知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新疆维吾尔自治区发展改革委、新疆维吾尔自治区工业和信息化厅、人民银行乌鲁木齐中心支行关于开展新能源项目及节能降碳项目贴息支持试点工作的通知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（新发改融资〔2022〕275号　2022年5月18日）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bCs/>
          <w:color w:val="218FC4"/>
          <w:sz w:val="21"/>
          <w:szCs w:val="21"/>
          <w:lang/>
        </w:rPr>
        <w:fldChar w:fldCharType="begin"/>
      </w:r>
      <w:r>
        <w:rPr>
          <w:rFonts w:ascii="宋体" w:hAnsi="宋体" w:eastAsia="宋体" w:cs="宋体"/>
          <w:b/>
          <w:bCs/>
          <w:color w:val="218FC4"/>
          <w:sz w:val="21"/>
          <w:szCs w:val="21"/>
          <w:lang/>
        </w:rPr>
        <w:instrText xml:space="preserve"> HYPERLINK "https://resources.pkulaw.cn/staticfiles/fagui/20220620/09/49/0/49bc236da79f698b2b34df45188afca0.pdf" </w:instrText>
      </w:r>
      <w:r>
        <w:rPr>
          <w:rFonts w:ascii="宋体" w:hAnsi="宋体" w:eastAsia="宋体" w:cs="宋体"/>
          <w:b/>
          <w:bCs/>
          <w:color w:val="218FC4"/>
          <w:sz w:val="21"/>
          <w:szCs w:val="21"/>
          <w:lang/>
        </w:rPr>
        <w:fldChar w:fldCharType="separate"/>
      </w:r>
      <w:r>
        <w:rPr>
          <w:rStyle w:val="11"/>
          <w:rFonts w:ascii="宋体" w:hAnsi="宋体" w:eastAsia="宋体" w:cs="宋体"/>
          <w:b w:val="0"/>
          <w:bCs w:val="0"/>
          <w:sz w:val="27"/>
          <w:szCs w:val="27"/>
          <w:vertAlign w:val="baseline"/>
          <w:lang/>
        </w:rPr>
        <w:t>新疆维吾尔自治区发展改革委、新疆维吾尔自治区工业和信息化厅、人民银行乌鲁木齐中心支行关于开展新能源项目及节能降碳项目贴息支持试点工作的通知</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"https://www.pkulaw.com/lar/2664cafbde47df91a62050824103f0c8bdfb.html"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https://www.pkulaw.com/lar/2664cafbde47df91a62050824103f0c8bdfb.html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【法宝引证码】CLI.14.5136227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3C5E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2023-01-28T15:49:43Z</dcterms:created>
  <dc:creator>xmintie.</dc:creator>
  <cp:lastModifiedBy>xmintie.</cp:lastModifiedBy>
  <dcterms:modified xsi:type="dcterms:W3CDTF">2023-01-28T15:49:44Z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740629C5B2FE45F4BE9C784BDCED8A96</vt:lpwstr>
  </property>
</Properties>
</file>