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2" w:name="_GoBack"/>
      <w:bookmarkEnd w:id="2"/>
      <w:r>
        <w:rPr>
          <w:rFonts w:ascii="Arial" w:hAnsi="Arial" w:eastAsia="Arial" w:cs="Arial"/>
          <w:b/>
          <w:bCs/>
          <w:lang/>
        </w:rPr>
        <w:t>上海市市场监管局、江苏省市场监管局、浙江省市场监管局、安徽省市场监管局关于长三角地区检验检测机构水质总有机碳能力验证结果的通报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上海市市场监管局、江苏省市场监管局、浙江省市场监管局、安徽省市场监管局关于长三角地区检验检测机构水质总有机碳能力验证结果的通报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（沪市监认检〔2021〕11号）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各市、县（区）市场监管局，各有关检验检测机构：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为深入贯彻落实《长江三角洲一体化发展三年行动计划（2018-2020年）》和2020年长三角市场监管联席会议精神，推动长三角检验检测更高质量一体化发展，根据《上海市市场监管局　江苏省市场监管局　浙江省市场监管局　安徽省市场监管局关于组织开展2020年长三角地区检验检测机构能力验证工作的通知》（沪市监认检〔2020〕477号）部署安排，上海市市场监管局牵头开展了长三角地区检验检测机构水质总有机碳能力验证。现将能力验证结果通报如下：</w:t>
      </w:r>
      <w:r>
        <w:rPr>
          <w:rFonts w:ascii="宋体" w:hAnsi="宋体" w:eastAsia="宋体" w:cs="宋体"/>
          <w:b w:val="0"/>
          <w:bCs w:val="0"/>
          <w:color w:val="000000"/>
          <w:sz w:val="27"/>
          <w:szCs w:val="27"/>
          <w:lang/>
        </w:rPr>
        <w:br w:type="textWrapping"/>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基本情况</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（一）能力验证组织情况</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本次能力验证委托华测检测认证集团股份有限公司作为项目承担单位，项目名称为“水质　总有机碳的测定”，方法标准为HJ 501-2009《水质　总有机碳的测定-燃烧氧化非分散红外吸收法》。一市三省共计146家检验检测机构参加，均为获得相关项目资质认定（CMA）的检验检测机构。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（二）能力验证结果统计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本次能力验证评定结果分为“满意”“可疑”“不满意”。经统计，评定结果为“满意”的有127家，占比88.2％；评定结果为“可疑”的有8家，占比5.6％；评定结果为“不满意”的有9家，占比6.2％（详见附件1、2、3）。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处理意见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根据《</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"https://www.pkulaw.com/chl/65698775a91d70f5bdfb.html?way=textSlc" </w:instrText>
      </w:r>
      <w:r>
        <w:rPr>
          <w:rFonts w:ascii="宋体" w:hAnsi="宋体" w:eastAsia="宋体" w:cs="宋体"/>
          <w:b w:val="0"/>
          <w:bCs w:val="0"/>
          <w:color w:val="000000"/>
          <w:sz w:val="27"/>
          <w:szCs w:val="27"/>
          <w:lang/>
        </w:rPr>
        <w:fldChar w:fldCharType="separate"/>
      </w:r>
      <w:r>
        <w:rPr>
          <w:rStyle w:val="12"/>
          <w:rFonts w:ascii="宋体" w:hAnsi="宋体" w:eastAsia="宋体" w:cs="宋体"/>
          <w:b w:val="0"/>
          <w:bCs w:val="0"/>
          <w:sz w:val="27"/>
          <w:szCs w:val="27"/>
          <w:vertAlign w:val="baseline"/>
          <w:lang/>
        </w:rPr>
        <w:t>检验检测机构资质认定管理办法</w:t>
      </w:r>
      <w:r>
        <w:rPr>
          <w:rStyle w:val="12"/>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》和《</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"https://www.pkulaw.com/chl/d5434bcbbdffabbbbdfb.html?way=textSlc" </w:instrText>
      </w:r>
      <w:r>
        <w:rPr>
          <w:rFonts w:ascii="宋体" w:hAnsi="宋体" w:eastAsia="宋体" w:cs="宋体"/>
          <w:b w:val="0"/>
          <w:bCs w:val="0"/>
          <w:color w:val="000000"/>
          <w:sz w:val="27"/>
          <w:szCs w:val="27"/>
          <w:lang/>
        </w:rPr>
        <w:fldChar w:fldCharType="separate"/>
      </w:r>
      <w:r>
        <w:rPr>
          <w:rStyle w:val="12"/>
          <w:rFonts w:ascii="宋体" w:hAnsi="宋体" w:eastAsia="宋体" w:cs="宋体"/>
          <w:b w:val="0"/>
          <w:bCs w:val="0"/>
          <w:sz w:val="27"/>
          <w:szCs w:val="27"/>
          <w:vertAlign w:val="baseline"/>
          <w:lang/>
        </w:rPr>
        <w:t>实验室能力验证实施办法</w:t>
      </w:r>
      <w:r>
        <w:rPr>
          <w:rStyle w:val="12"/>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》的有关规定，结合对部分机构的现场核查，对本次能力验证提出如下处理意见：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能力验证评定结果为满意的参加机构，且相关项目参数所涉及的人员、仪器设备、环境设施、检验检测依据等能力条件未发生显著变化的，在2年内可以免于所在省、市市场监管部门对该项目参数的相关考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能力验证评定结果为可疑、不满意的参加机构，应当按照所在省、市市场监管部门的要求，在规定期限内进行整改，并提交整改报告。整改期间，不得对外出具相关项目参数的具有社会证明作用的检验检测数据、结果。未在规定时间内进行整改或者整改后仍然不符合要求的，由所在省、市市场监管部门依照《</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"https://www.pkulaw.com/chl/65698775a91d70f5bdfb.html?way=textSlc" </w:instrText>
      </w:r>
      <w:r>
        <w:rPr>
          <w:rFonts w:ascii="宋体" w:hAnsi="宋体" w:eastAsia="宋体" w:cs="宋体"/>
          <w:b w:val="0"/>
          <w:bCs w:val="0"/>
          <w:color w:val="000000"/>
          <w:sz w:val="27"/>
          <w:szCs w:val="27"/>
          <w:lang/>
        </w:rPr>
        <w:fldChar w:fldCharType="separate"/>
      </w:r>
      <w:r>
        <w:rPr>
          <w:rStyle w:val="12"/>
          <w:rFonts w:ascii="宋体" w:hAnsi="宋体" w:eastAsia="宋体" w:cs="宋体"/>
          <w:b w:val="0"/>
          <w:bCs w:val="0"/>
          <w:sz w:val="27"/>
          <w:szCs w:val="27"/>
          <w:vertAlign w:val="baseline"/>
          <w:lang/>
        </w:rPr>
        <w:t>检验检测机构资质认定管理办法</w:t>
      </w:r>
      <w:r>
        <w:rPr>
          <w:rStyle w:val="12"/>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》的规定进行处理。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（三）对于现场核查中发现的不符合项，相关检验检测机构应认真分析导致不符合的原因，采取切实有效的纠正措施自行整改，并保存相关整改记录，后续监管检查时作为重点核查内容。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（四）一市三省市场监管部门及其他有关部门应当对本次能力验证的结果互认，在有关政府采购项目中应当优先选择评定结果为满意的检验检测机构，并对评定结果为可疑、不满意的检验检测机构依法予以限制。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附件：1．能力验证结果为满意的检验检测机构名单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2．能力验证结果为不满意的检验检测机构名单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3．能力验证结果为可疑的检验检测机构名单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上海市市场监督管理局</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江苏省市场监督管理局</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浙江省市场监督管理局</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安徽省市场监督管理局</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2021年1月5日</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附件1</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能力验证结果为满意的检验检测机构名单 </w:t>
      </w:r>
    </w:p>
    <w:tbl>
      <w:tblPr>
        <w:tblStyle w:val="14"/>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714"/>
        <w:gridCol w:w="1262"/>
        <w:gridCol w:w="8654"/>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序号</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所属省份</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机构名称</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英格尔检测技术服务（上海）有限公司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上海国齐检测技术有限公司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上海同纳建设工程质量检测有限公司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上海市仪表电子工业环境监测站</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上海威正测试技术有限公司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上海新金桥检测技术服务有限公司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上海市杨浦区环境监测站</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博慧检测技术（上海）有限公司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上海市奉贤区环境监测站</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上海凯米锐环境科技有限公司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上海博优测试技术有限公司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上海轻工环境保护压力容器监测总站</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上海华测品标检测技术有限公司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上海市青浦区环境监测站</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实朴检测技术（上海）股份有限公司（闵行区都会路实验室）</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16</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实朴检测技术（上海）股份有限公司（闵行区中春路实验室）</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17</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上海市松江区环境监测站</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18</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上海市宝山区环境监测站</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19</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上海市黄浦区环境监测站</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必维申美商品检测（上海）有限公司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谱尼测试集团上海有限公司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上海市金山区环境监测站</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上海纺织节能环保中心</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上海市闵行区环境监测站</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上海市化工环境保护监测站</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26</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上海海洋大学水生态环境中心</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27</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通标标准技术服务（上海）有限公司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28</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上海沪东医院检测有限公司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29</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上海金艺检测技术有限公司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上海鉴海环境检测技术有限公司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上海申丰地质新技术应用研究所有限公司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上海浦东新区环境监测站</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苏伊士环境检测技术（上海）有限公司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江苏</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无锡市中证检测技术有限公司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江苏</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苏州大学卫生与环境技术研究所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36</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江苏</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苏州市昆山环境监测站（苏州市昆山环境监控中心）</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37</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江苏</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江苏连海检测有限公司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38</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江苏</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江阴秋毫检测有限公司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39</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江苏</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苏州宏宇环境检测有限公司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江苏</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宜兴市环境监测站</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江苏</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江苏省无锡环境监测中心</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江苏</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江阴市环境监测站</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江苏</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江苏省苏州环境监测中心</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江苏</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江苏恩测检测技术有限公司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江苏</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江苏省南京环境监测中心</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46</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江苏</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中新苏州工业园区清城环境发展有限公司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47</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江苏</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亿科检测认证有限公司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48</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江苏</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南大盐城环境检测科技有限公司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49</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江苏</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南京白云环境科技集团股份有限公司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江苏</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连云港莲枝环境检测有限公司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江苏</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邦达诚环境监测中心（江苏）有限公司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江苏</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南通大学分析测试中心</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江苏</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南京爱迪信环境技术有限公司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江苏</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江苏方建质量鉴定检测有限公司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江苏</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苏州昆环检测技术有限公司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56</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江苏</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江苏实朴检测服务有限公司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57</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江苏</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扬州杰嘉检测技术有限公司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58</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江苏</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无锡市政公用环境检测研究院有限公司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59</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江苏</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江苏中宜金大分析检测有限公司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江苏</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江苏国恒检测有限公司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江苏</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江苏国测检测技术有限公司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江苏</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江苏方洋环境监测有限公司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江苏</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泰科检测科技江苏有限公司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江苏</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江苏省淮安环境监测中心</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江苏</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江苏省徐州环境监测中心</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66</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江苏</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江苏宜安检测技术有限公司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67</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江苏</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苏州市太仓环境监测站（苏州市太仓环境监控中心）</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68</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江苏</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苏交科环境与健康检测研究院江苏有限公司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69</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江苏</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苏州康恒检测技术有限公司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江苏</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无锡泰合蓝监测技术有限公司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江苏</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徐州市质量技术监督综合检验检测中心</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江苏</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江苏省泰州环境监测中心</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江苏</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宜兴蓝必盛化工环保技术研究院有限公司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江苏</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江苏易测环境科技有限公司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江苏</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江苏省连云港环境监测中心</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76</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江苏</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江苏国正检测有限公司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77</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江苏</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江苏康达检测技术股份有限公司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78</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江苏</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苏州顺泽检测技术有限公司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79</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江苏</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苏州市华测检测技术有限公司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江苏</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常熟市产品质量监督检验所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浙江</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嘉兴求源检测技术有限公司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浙江</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浙江瑞启检测技术有限公司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浙江</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杭州天量检测科技有限公司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浙江</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浙江锦钰检测技术有限公司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浙江</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绍兴市上虞区水务环境检测有限公司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86</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浙江</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杭州谱育检测有限公司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87</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浙江</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浙江宏超环境检测有限公司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88</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浙江</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浙江环质环境科技有限公司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89</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浙江</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绍兴市质量技术监督检测院</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浙江</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绍兴市环境监测中心站</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浙江</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绍兴市上虞区环境监测站</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浙江</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浙江交科环境科技有限公司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浙江</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丽水市环境监测中心站</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浙江</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浙江省水产技术推广总站（浙江省渔业检验检测与疫病防控中心）</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浙江</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浙江钱水检测科技有限公司（浙江省城市供水水质监测网丽水监测站）</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96</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浙江</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宁波市镇海区生态环境监测站</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97</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浙江</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绍兴市水环境科学研究院有限公司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98</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浙江</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温州新鸿检测技术有限公司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99</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浙江</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浙江新鸿检测技术有限公司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浙江</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舟山市食品药品检验检测研究院</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浙江</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嘉兴市嘉善生态环境监测站</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浙江</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浙江正安检测技术有限公司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浙江</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台州市环境监测中心站</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浙江</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浙江浙海环保科技有限公司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浙江</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杭州普洛赛斯检测科技有限公司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106</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浙江</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嘉兴市桐乡生态环境监测站</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107</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浙江</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嘉兴市平湖生态环境监测站</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108</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浙江</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杭州市环境监测中心站</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109</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浙江</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杭州市环境检测科技有限公司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浙江</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浙江省海洋水产养殖研究所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浙江</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温州市环境监测中心站</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浙江</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浙江华标检测技术有限公司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浙江</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浙江省嘉兴生态环境监测中心</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浙江</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嘉兴市海盐生态环境监测站</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浙江</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嘉兴市海宁生态环境监测站</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116</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浙江</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浙江信捷检测技术有限公司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117</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浙江</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绍兴市柯桥区环境保护监测站</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118</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浙江</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浙江巨化清安检测科技有限公司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119</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浙江</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浙江易测环境科技有限公司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浙江</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浙江清华长三角研究院分析测试中心</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浙江</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宁波市环境监测中心</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浙江</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浙江水知音检测有限公司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安徽</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安徽泰科检测科技有限公司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安徽</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国家城市供水水质监测网合肥监测站</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安徽</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安徽国科检测科技有限公司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126</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安徽</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安徽省欧萨卫生检测技术有限公司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127</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安徽</w:t>
            </w:r>
          </w:p>
        </w:tc>
        <w:tc>
          <w:tcPr>
            <w:tcW w:w="0" w:type="auto"/>
            <w:tcBorders>
              <w:top w:val="single" w:color="666666" w:sz="6" w:space="0"/>
              <w:left w:val="single" w:color="666666"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安徽中科澄信检测技术有限公司</w:t>
            </w: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附件2</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能力验证结果为不满意的检验检测机构名单 </w:t>
      </w:r>
    </w:p>
    <w:tbl>
      <w:tblPr>
        <w:tblStyle w:val="14"/>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750"/>
        <w:gridCol w:w="1301"/>
        <w:gridCol w:w="7921"/>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序号</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所属省份</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机构名称</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住化分析技术（上海）有限公司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上海市长宁区环境监测站</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上海中维检测技术有限公司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江苏</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连云港市海洋环境监测预报中心（连云港市环境监测监控中心）</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江苏</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江苏申达检验有限公司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江苏</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江苏省扬州环境监测中心</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江苏</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苏州申测检验检测中心有限公司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江苏</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江苏韵沣检测有限公司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浙江</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浙江中广衡检测技术有限公司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浙江</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杭州大江东产业集聚区环境监测站</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浙江</w:t>
            </w:r>
          </w:p>
        </w:tc>
        <w:tc>
          <w:tcPr>
            <w:tcW w:w="0" w:type="auto"/>
            <w:tcBorders>
              <w:top w:val="single" w:color="666666" w:sz="6" w:space="0"/>
              <w:left w:val="single" w:color="666666"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湖州高精检测科技有限公司</w:t>
            </w: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附件3</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能力验证结果为可疑的检验检测机构名单 </w:t>
      </w:r>
    </w:p>
    <w:tbl>
      <w:tblPr>
        <w:tblStyle w:val="14"/>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1224"/>
        <w:gridCol w:w="2124"/>
        <w:gridCol w:w="6625"/>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序号</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所属省份</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机构名称</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江苏</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苏州国环环境检测有限公司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江苏</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苏州国诚检测技术有限公司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浙江</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浙江中通检测科技有限公司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浙江</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耐斯检测技术服务有限公司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浙江</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浙江大学土木工程测试中心</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浙江</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温岭市环境监测站</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安徽</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安徽省生态环境监测中心</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安徽</w:t>
            </w:r>
          </w:p>
        </w:tc>
        <w:tc>
          <w:tcPr>
            <w:tcW w:w="0" w:type="auto"/>
            <w:tcBorders>
              <w:top w:val="single" w:color="666666" w:sz="6" w:space="0"/>
              <w:left w:val="single" w:color="666666"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安徽省环境科学研究院测试中心</w:t>
            </w:r>
          </w:p>
        </w:tc>
      </w:tr>
    </w:tbl>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"https://www.pkulaw.com/lar/3b816e1f17b5b5143666efa2b1026e29bdfb.html"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https://www.pkulaw.com/lar/3b816e1f17b5b5143666efa2b1026e29bdfb.html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【法宝引证码】CLI.14.1688366</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1993064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 w:type="character" w:customStyle="1" w:styleId="12">
    <w:name w:val="fulltext-wrap_fulltext_a"/>
    <w:basedOn w:val="4"/>
    <w:uiPriority w:val="0"/>
    <w:rPr>
      <w:color w:val="218FC4"/>
    </w:rPr>
  </w:style>
  <w:style w:type="paragraph" w:customStyle="1" w:styleId="13">
    <w:name w:val="fulltext-wrap_fulltext_table_p"/>
    <w:basedOn w:val="1"/>
    <w:uiPriority w:val="0"/>
    <w:pPr>
      <w:ind w:firstLine="0"/>
    </w:pPr>
  </w:style>
  <w:style w:type="table" w:customStyle="1" w:styleId="14">
    <w:name w:val="fulltext-wrap_fulltext_table_c_tb"/>
    <w:basedOn w:val="3"/>
    <w:uiPriority w:val="0"/>
    <w:tblPr>
      <w:tblStyle w:val="3"/>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2023-01-28T15:51:29Z</dcterms:created>
  <dc:creator>xmintie.</dc:creator>
  <cp:lastModifiedBy>xmintie.</cp:lastModifiedBy>
  <dcterms:modified xsi:type="dcterms:W3CDTF">2023-01-28T15:51:29Z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AE875F334E2F4D1FABE20585C294D66C</vt:lpwstr>
  </property>
</Properties>
</file>