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江西省农业厅办公室关于加强第三届世界低碳生态博览会农业专题活动重要客商邀请和签约项目调度工作的通知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江西省农业厅办公室关于加强第三届世界低碳生态博览会农业专题活动重要客商邀请和签约项目调度工作的通知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各设区市农业（果业）局、鄱阳县农业局，厅有关单位：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目前，第三届世界低碳生态博览会农业专题活动邀商和签约项目调度工作取得了一定成效，但应邀客商总体层次不高，签约项目少、规模不大，与大会要求和我厅的目标仍有差距。为进一步提高邀商和签约项目质量，根据第三届世界低碳生态博览会组委会的要求和厅主要领导指示精神，现将重要客商邀请和签约项目调度有关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一、邀商工作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（一）邀请对象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国内500强、民营企业500强涉农企业和国家级农业产业化龙头企业100强总部副总以上高管，台湾知名农业企业负责人。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（二）任务分工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由南昌市农业局、鹰潭市农业局、鄱阳县农业局，以及厅市场处、产业化处，省粮油局、经作局、农机局、渔业局、畜牧局、种子局、农发局对口邀请（任务分配详见附件1）。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（三）邀请方式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采取派专人上门邀请的方式，必要时由厅领导亲自带队上门邀请。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二、签约项目调度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每个设区市农业部门调度2—3个（其中，赣州市农粮局、果业局分别调度1-2个）拟签约农业投资项目，按照拟签约项目统计表（见附件2）的格式填报相关信息。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1、加强领导。各有关单位要强化组织领导，主要负责人负总责，分管负责人具体抓，抽调精干人员组成工作小组，集中精力做好重要客商邀请和签约项目调度工作。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2、明确职责。要明确相关工作职责，将工作任务细化到人，确保人员、任务、责任、措施、时间节点等逐一落实到位，确保邀商和签约项目调度工作有序、高效开展。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3、狠抓落实。各有关单位要强化时间观念和节点意识，倒排时间表，细化工作措施，狠抓工作落实，确保邀商和签约项目调度工作抓出成效。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四、其它事项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客商反馈信息（包括参会人员姓名、性别、单位或公司名称、职务及联系方式等）和拟签约项目统计表请于11月7日前报省农发局汇总。联系人：谭丰，电话：0791-86212625，传真：0791-86212125，E-mail:nytwzb2000@163.com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"https://resources.pkulaw.cn/staticfiles/lawinfo/20220913/15/26/0/c37b9865fa9362f70ead4e4337f5a851.doc"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重要客商邀请任务分工表.doc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2"/>
          <w:rFonts w:ascii="宋体" w:hAnsi="宋体" w:eastAsia="宋体" w:cs="宋体"/>
          <w:color w:val="000000"/>
          <w:sz w:val="27"/>
          <w:szCs w:val="27"/>
          <w:lang/>
        </w:rPr>
        <w:t>2、</w:t>
      </w:r>
      <w:r>
        <w:rPr>
          <w:rStyle w:val="12"/>
          <w:rFonts w:ascii="宋体" w:hAnsi="宋体" w:eastAsia="宋体" w:cs="宋体"/>
          <w:color w:val="000000"/>
          <w:sz w:val="27"/>
          <w:szCs w:val="27"/>
          <w:lang/>
        </w:rPr>
        <w:fldChar w:fldCharType="begin"/>
      </w:r>
      <w:r>
        <w:rPr>
          <w:rStyle w:val="12"/>
          <w:rFonts w:ascii="宋体" w:hAnsi="宋体" w:eastAsia="宋体" w:cs="宋体"/>
          <w:color w:val="000000"/>
          <w:sz w:val="27"/>
          <w:szCs w:val="27"/>
          <w:lang/>
        </w:rPr>
        <w:instrText xml:space="preserve"> HYPERLINK "https://resources.pkulaw.cn/staticfiles/lawinfo/20220913/15/26/0/6858e8e3010c6febc5e490c1dcb7564a.doc" </w:instrText>
      </w:r>
      <w:r>
        <w:rPr>
          <w:rStyle w:val="12"/>
          <w:rFonts w:ascii="宋体" w:hAnsi="宋体" w:eastAsia="宋体" w:cs="宋体"/>
          <w:color w:val="000000"/>
          <w:sz w:val="27"/>
          <w:szCs w:val="27"/>
          <w:lang/>
        </w:rPr>
        <w:fldChar w:fldCharType="separate"/>
      </w:r>
      <w:r>
        <w:rPr>
          <w:rStyle w:val="11"/>
          <w:rFonts w:ascii="宋体" w:hAnsi="宋体" w:eastAsia="宋体" w:cs="宋体"/>
          <w:sz w:val="27"/>
          <w:szCs w:val="27"/>
          <w:lang/>
        </w:rPr>
        <w:t>拟签约项目统计表.doc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2014年10月30日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"https://www.pkulaw.com/lar/c62739c3c2747ac2ec794c0095155616bdfb.html"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https://www.pkulaw.com/lar/c62739c3c2747ac2ec794c0095155616bdfb.html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【法宝引证码】CLI.14.5401109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BC0C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2023-01-28T16:03:14Z</dcterms:created>
  <dc:creator>xmintie.</dc:creator>
  <cp:lastModifiedBy>xmintie.</cp:lastModifiedBy>
  <dcterms:modified xsi:type="dcterms:W3CDTF">2023-01-28T16:03:14Z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E62FC31CF5C54982986DBDD205C77A8B</vt:lpwstr>
  </property>
</Properties>
</file>