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 xml:space="preserve">厦门市农业与林业局关于印发低碳城市试点2011年行动计划任务分解的通知 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厦门市农业与林业局关于印发低碳城市试点2011年行动计划任务分解的通知</w:t>
      </w:r>
    </w:p>
    <w:p>
      <w:pPr>
        <w:pStyle w:val="9"/>
        <w:spacing w:before="150" w:after="0" w:line="600" w:lineRule="atLeast"/>
        <w:ind w:left="375" w:right="375" w:firstLine="0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Arial" w:hAnsi="Arial" w:eastAsia="Arial" w:cs="Arial"/>
          <w:color w:val="000000"/>
          <w:lang/>
        </w:rPr>
        <w:t>厦农林[2011]53号</w:t>
      </w:r>
    </w:p>
    <w:p>
      <w:pPr>
        <w:pStyle w:val="9"/>
        <w:spacing w:before="0" w:after="0" w:line="600" w:lineRule="atLeast"/>
        <w:ind w:left="375" w:right="375" w:firstLine="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Arial" w:hAnsi="Arial" w:eastAsia="Arial" w:cs="Arial"/>
          <w:color w:val="000000"/>
          <w:lang/>
        </w:rPr>
        <w:t>各相关处（室）、直属事业单位：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Arial" w:hAnsi="Arial" w:eastAsia="Arial" w:cs="Arial"/>
          <w:color w:val="000000"/>
          <w:lang/>
        </w:rPr>
        <w:t>根据厦门市人民政府办公厅《关于印发低碳城市试点2011年行动计划及任务分工的通知》（厦府办[2011]67号）要求，我局作为“农业低碳化”和“增强城市碳汇能力”两项任务的牵头单位。为推动工作落实，现将我局牵头的工作任务进行细化分解，排在第一个的为牵头责任单位。请各责任单位要高度重视，指定专人负责，细化工作措施，认真组织实施，并于每季度第一个月上旬向局综合秘书处报送工作进展情况，以便汇总上报市发改委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Arial" w:hAnsi="Arial" w:eastAsia="Arial" w:cs="Arial"/>
          <w:color w:val="000000"/>
          <w:lang/>
        </w:rPr>
        <w:t>附：厦门农业与林业局低碳城市试点2011年行动计划及任务分工</w:t>
      </w:r>
    </w:p>
    <w:p>
      <w:pPr>
        <w:pStyle w:val="9"/>
        <w:spacing w:before="0" w:after="0" w:line="600" w:lineRule="atLeast"/>
        <w:ind w:left="375" w:right="375" w:firstLine="0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Arial" w:hAnsi="Arial" w:eastAsia="Arial" w:cs="Arial"/>
          <w:color w:val="000000"/>
          <w:lang/>
        </w:rPr>
        <w:t>二○一一年四月二十日</w:t>
      </w:r>
    </w:p>
    <w:p>
      <w:pPr>
        <w:pStyle w:val="9"/>
        <w:spacing w:before="0" w:after="0" w:line="600" w:lineRule="atLeast"/>
        <w:ind w:left="375" w:right="375" w:firstLine="0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Arial" w:hAnsi="Arial" w:eastAsia="Arial" w:cs="Arial"/>
          <w:color w:val="000000"/>
          <w:lang/>
        </w:rPr>
        <w:t>厦门农业与林业局低碳城市试点2011年行动计划及任务分工</w:t>
      </w:r>
    </w:p>
    <w:tbl>
      <w:tblPr>
        <w:tblStyle w:val="13"/>
        <w:tblW w:w="5000" w:type="pct"/>
        <w:tblInd w:w="49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1608"/>
        <w:gridCol w:w="1116"/>
        <w:gridCol w:w="1195"/>
        <w:gridCol w:w="1103"/>
        <w:gridCol w:w="1117"/>
        <w:gridCol w:w="966"/>
        <w:gridCol w:w="966"/>
        <w:gridCol w:w="966"/>
        <w:gridCol w:w="774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20" w:hRule="atLeast"/>
        </w:trPr>
        <w:tc>
          <w:tcPr>
            <w:tcW w:w="885" w:type="dxa"/>
            <w:vMerge w:val="restart"/>
            <w:tcBorders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工作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任务</w:t>
            </w:r>
          </w:p>
        </w:tc>
        <w:tc>
          <w:tcPr>
            <w:tcW w:w="1618" w:type="dxa"/>
            <w:vMerge w:val="restart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工作重点</w:t>
            </w:r>
          </w:p>
        </w:tc>
        <w:tc>
          <w:tcPr>
            <w:tcW w:w="3868" w:type="dxa"/>
            <w:gridSpan w:val="4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工作目标</w:t>
            </w:r>
          </w:p>
        </w:tc>
        <w:tc>
          <w:tcPr>
            <w:tcW w:w="972" w:type="dxa"/>
            <w:vMerge w:val="restart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牵头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单位</w:t>
            </w:r>
          </w:p>
        </w:tc>
        <w:tc>
          <w:tcPr>
            <w:tcW w:w="972" w:type="dxa"/>
            <w:vMerge w:val="restart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相关责任单位</w:t>
            </w:r>
          </w:p>
        </w:tc>
        <w:tc>
          <w:tcPr>
            <w:tcW w:w="972" w:type="dxa"/>
            <w:vMerge w:val="restart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分管领导</w:t>
            </w:r>
          </w:p>
        </w:tc>
        <w:tc>
          <w:tcPr>
            <w:tcW w:w="778" w:type="dxa"/>
            <w:vMerge w:val="restart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责任处室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20" w:hRule="atLeast"/>
        </w:trPr>
        <w:tc>
          <w:tcPr>
            <w:tcW w:w="0" w:type="auto"/>
            <w:vMerge w:val="continue"/>
            <w:tcBorders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</w:pPr>
          </w:p>
        </w:tc>
        <w:tc>
          <w:tcPr>
            <w:tcW w:w="112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年度计划</w:t>
            </w:r>
          </w:p>
        </w:tc>
        <w:tc>
          <w:tcPr>
            <w:tcW w:w="1198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一季度</w:t>
            </w:r>
          </w:p>
        </w:tc>
        <w:tc>
          <w:tcPr>
            <w:tcW w:w="1108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二季度</w:t>
            </w:r>
          </w:p>
        </w:tc>
        <w:tc>
          <w:tcPr>
            <w:tcW w:w="112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三季度</w:t>
            </w:r>
          </w:p>
        </w:tc>
        <w:tc>
          <w:tcPr>
            <w:tcW w:w="0" w:type="auto"/>
            <w:vMerge w:val="continue"/>
            <w:tcBorders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000000" w:sz="6" w:space="0"/>
            </w:tcBorders>
            <w:noWrap w:val="0"/>
            <w:vAlign w:val="center"/>
          </w:tcPr>
          <w:p>
            <w:pP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55" w:hRule="atLeast"/>
        </w:trPr>
        <w:tc>
          <w:tcPr>
            <w:tcW w:w="885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农业低碳化</w:t>
            </w:r>
          </w:p>
        </w:tc>
        <w:tc>
          <w:tcPr>
            <w:tcW w:w="1618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整治畜禽养殖污染，推广生态型零排放和发酵式零排放畜禽养殖模式</w:t>
            </w:r>
          </w:p>
        </w:tc>
        <w:tc>
          <w:tcPr>
            <w:tcW w:w="3868" w:type="dxa"/>
            <w:gridSpan w:val="4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启动生态零排放项目，推进畜禽养殖标准化示范厂建设，推广生态养殖技术</w:t>
            </w:r>
          </w:p>
        </w:tc>
        <w:tc>
          <w:tcPr>
            <w:tcW w:w="97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市农业与林业局</w:t>
            </w:r>
          </w:p>
        </w:tc>
        <w:tc>
          <w:tcPr>
            <w:tcW w:w="97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市环保局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各区政府</w:t>
            </w:r>
          </w:p>
        </w:tc>
        <w:tc>
          <w:tcPr>
            <w:tcW w:w="97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路慧英</w:t>
            </w:r>
          </w:p>
        </w:tc>
        <w:tc>
          <w:tcPr>
            <w:tcW w:w="778" w:type="dxa"/>
            <w:tcBorders>
              <w:bottom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畜牧处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动卫所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45" w:hRule="atLeast"/>
        </w:trPr>
        <w:tc>
          <w:tcPr>
            <w:tcW w:w="885" w:type="dxa"/>
            <w:tcBorders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增强城市碳汇能力</w:t>
            </w:r>
          </w:p>
        </w:tc>
        <w:tc>
          <w:tcPr>
            <w:tcW w:w="1618" w:type="dxa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1）创建国家森林城市，重点实施山上造林与非规划林地造林、岛内城区造林绿化、岛外新城绿色基础设施建设、绿色村镇建设、绿色通道建设、绿色海岸与溪流两岸景观林建设等生态工程；2）2011年完成植树造林30000亩和12000亩生态风景林改造</w:t>
            </w:r>
          </w:p>
        </w:tc>
        <w:tc>
          <w:tcPr>
            <w:tcW w:w="1122" w:type="dxa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全面实施创建国家森林城市工作，基本达到国家验收水平</w:t>
            </w:r>
          </w:p>
        </w:tc>
        <w:tc>
          <w:tcPr>
            <w:tcW w:w="1198" w:type="dxa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完成全年造林总任务的60%。加大"创森"宣传，健全档案，开展全民义务植树等群众性公益活动</w:t>
            </w:r>
          </w:p>
        </w:tc>
        <w:tc>
          <w:tcPr>
            <w:tcW w:w="1108" w:type="dxa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完成全年造林任务。进一步营造"创森"氛围，推进各项工作</w:t>
            </w:r>
          </w:p>
        </w:tc>
        <w:tc>
          <w:tcPr>
            <w:tcW w:w="1122" w:type="dxa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实施造林的补植等扫尾工作，迎接全省造林验收。继续全面推进"创森"各项工作</w:t>
            </w:r>
          </w:p>
        </w:tc>
        <w:tc>
          <w:tcPr>
            <w:tcW w:w="972" w:type="dxa"/>
            <w:tcBorders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市农业与林业局</w:t>
            </w:r>
          </w:p>
        </w:tc>
        <w:tc>
          <w:tcPr>
            <w:tcW w:w="972" w:type="dxa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市市政园林局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发展改革委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建设与管理局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各区政府</w:t>
            </w:r>
          </w:p>
        </w:tc>
        <w:tc>
          <w:tcPr>
            <w:tcW w:w="972" w:type="dxa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张剑鸣</w:t>
            </w:r>
          </w:p>
        </w:tc>
        <w:tc>
          <w:tcPr>
            <w:tcW w:w="778" w:type="dxa"/>
            <w:tcBorders>
              <w:top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造林处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1"/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创森办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"https://www.pkulaw.com/lar/2372de4142d9fbaa61af965ccafe3fbebdfb.html"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https://www.pkulaw.com/lar/2372de4142d9fbaa61af965ccafe3fbebdfb.html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【法宝引证码】CLI.14.1993957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6B7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2023-01-28T16:37:32Z</dcterms:created>
  <dc:creator>xmintie.</dc:creator>
  <cp:lastModifiedBy>xmintie.</cp:lastModifiedBy>
  <dcterms:modified xsi:type="dcterms:W3CDTF">2023-01-28T16:37:32Z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EC1C36410C684C5F86605FB3E773C5DC</vt:lpwstr>
  </property>
</Properties>
</file>