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福建省发展和改革委员会关于开展重点排放单位碳排放第三方核查工作的通知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福建省发展和改革委员会关于开展重点排放单位碳排放第三方核查工作的通知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（闽发改区域〔2016〕400号）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各设区市发改委、平潭综合实验区经发局，各有关单位：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按照国家发展改革委和省政府关于开展碳排放权交易市场建设的总体部署，加快推动落实我省碳市场建设的相关工作任务，夯实碳排放权交易数据基础，确保碳市场建设工作顺利推进，我委拟于近期组织第三方核查机构对第一批重点排放单位碳排放历史数据进行核查。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核查对象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第一批重点排放单位涵盖石化、化工、建材、钢铁、有色、造纸、电力等七个行业（具体覆盖行业及代码见附件1）中2013年至2015年任意一年综合能源消费总量达到1万吨标准煤以上（含）的企业法人单位或独立核算企业单位（具体企业名单见附件2）。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时间安排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5月29日至6月15日进行核查，6月16日至6月25日组织开展复查。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核查任务分配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第一批重点排放单位碳排放历史数据核查工作拟通过竞争性磋商采购方式确定6家第三方核查机构承担，核查机构具体任务分配将在采购结束后公布。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相关要求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1.此次重点排放单位碳排放历史数据核查工作时间紧、任务重，各设区市发改部门要加强对重点排放单位的宣传引导，努力做好协调工作，主动帮助解决核查中碰到的有关问题，确保核查工作的顺利开展。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2.碳排放历史数据是制定合理、实用配额分配方案的基础，也是执行配额分配的依据，各重点排放单位应高度重视此项工作，积极配合第三方核查机构开展核查工作，提前收集和整理好相关支持文件。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第三方核查机构要严格遵循客观独立、诚实守信、公平公正、专业严谨的原则，派出专业水平较高的工作人员，按照相关规定和技术标准，独立、公正地做好排放数据核查和查证，按时按质编制完成第三方核查报告，并于6月15前将核查报告纸质版（分别加盖第三方核查机构公章及重点排放单位公章）、电子光盘报送省发改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第三方核查机构要严格遵守核查纪律，不得向重点排放单位收取任何费用；不得向重点排放单位提出核查工作以外的要求；要严格保守秘密，与核查相关的材料，如数据、结论、企业基本资料等，不得向外透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5.重点排放单位对第三方核查报告有异议的，可向省发改委提交申诉证明材料（含核查报告），省发改委要及时组织复查，并反馈重点排放单位。未提交申诉证明材料的，原则上视为同意。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联系人及电话：周长河，0591-87063487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附件：1.第一批重点排放单位覆盖行业及代码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2.第一批重点排放单位名单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"https://resources.pkulaw.cn/upload/doc/cb06c76e-c813-4ff2-b668-84e5bf0af024.doc"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3.福建省碳排放权交易第三方核查工作参考指南</w:t>
      </w:r>
      <w:r>
        <w:rPr>
          <w:rStyle w:val="12"/>
          <w:rFonts w:ascii="宋体" w:hAnsi="宋体" w:eastAsia="宋体" w:cs="宋体"/>
          <w:b w:val="0"/>
          <w:bCs w:val="0"/>
          <w:sz w:val="27"/>
          <w:szCs w:val="27"/>
          <w:vertAlign w:val="baseline"/>
          <w:lang/>
        </w:rPr>
        <w:fldChar w:fldCharType="end"/>
      </w:r>
      <w:r>
        <w:rPr>
          <w:rStyle w:val="12"/>
          <w:rFonts w:ascii="宋体" w:hAnsi="宋体" w:eastAsia="宋体" w:cs="宋体"/>
          <w:b w:val="0"/>
          <w:bCs w:val="0"/>
          <w:sz w:val="27"/>
          <w:szCs w:val="27"/>
          <w:vertAlign w:val="baseline"/>
          <w:lang/>
        </w:rPr>
        <w:br w:type="textWrapping"/>
      </w:r>
      <w:r>
        <w:rPr>
          <w:rFonts w:ascii="宋体" w:hAnsi="宋体" w:eastAsia="宋体" w:cs="宋体"/>
          <w:b w:val="0"/>
          <w:bCs w:val="0"/>
          <w:color w:val="000000"/>
          <w:sz w:val="27"/>
          <w:szCs w:val="27"/>
          <w:lang/>
        </w:rPr>
        <w:t xml:space="preserve">　　4.核查报告格式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2015年5月26日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第一批重点排放单位覆盖行业及代码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270"/>
        <w:gridCol w:w="2244"/>
        <w:gridCol w:w="711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行业代码</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行业子类（主营产品统计代码）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2511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2614</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原油加工（2501）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乙烯（2602010201）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2619</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2621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电石（2601220101）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合成氨（260401）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甲醇（2602090101）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建材</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3011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水泥熟料（310101）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3041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平板玻璃（311101）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3120</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粗钢（3206）</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3216</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电解铝（3316039900）</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3211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铜冶炼（3311）</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2212</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2221</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纸浆制造（2201）</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机制纸和纸板（2202）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电力</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4411</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纯发电</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热电联产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top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right w:val="single" w:color="808080" w:sz="6" w:space="0"/>
            </w:tcBorders>
            <w:noWrap w:val="0"/>
            <w:tcMar>
              <w:top w:w="82" w:type="dxa"/>
              <w:left w:w="80"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4420</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电网</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附件2</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第一批重点排放单位名单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569"/>
        <w:gridCol w:w="2413"/>
        <w:gridCol w:w="940"/>
        <w:gridCol w:w="940"/>
        <w:gridCol w:w="576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 　　（14家）</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福清市</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玻璃</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福耀玻璃工业集团股份有限公司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福清市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国电福州发电有限公司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鼓楼区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供电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连江县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福建华电可门发电有限公司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连江县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福州福泰钢铁有限公司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罗源县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宝钢德盛不锈钢有限公司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罗源县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福建罗源闽光钢铁有限责任公司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罗源县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福建亿鑫钢铁有限公司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罗源县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罗源雄丰纸业有限公司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闽清县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福建省金盛钢业有限公司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长乐市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华能国际电力股份有限公司福州电厂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长乐市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福建吴航不锈钢制品有限公司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长乐市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福建鑫海冶金有限公司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长乐市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福州吴航钢铁制品有限公司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龙岩 　　（18家）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上杭县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铜冶炼</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紫金铜业有限公司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福建塔牌水泥有限公司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新罗区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神华福能（福建龙岩）发电有限责任公司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新罗区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神华福能（福建雁石）发电有限责任公司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新罗区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福建豪邦化工有限公司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新罗区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福建春驰集团新丰水泥有限公司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新罗区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福建春驰集团有限公司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22</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新罗区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福建蓝田水泥有限公司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新罗区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福建龙麟集团有限公司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24</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新罗区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华润水泥（龙岩）有限公司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新罗区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华润水泥（龙岩曹溪）有限公司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新罗区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华润水泥（龙岩雁石）有限公司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永定县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福建省永定闽福建材有限公司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28</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永定县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国产实业（福建）水泥有限公司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永定县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华润水泥（永定）有限公司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福建华电漳平火电有限公司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漳平市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华润水泥（漳平）有限公司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漳平市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漳平红狮水泥有限公司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 　　（10家）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建瓯市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福建利树集团有限公司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34</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建瓯市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福建利树浆纸有限公司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邵武市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福建华电邵武发电有限公司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邵武市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福建邵化化工有限公司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37</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顺昌县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福建省顺昌富宝实业有限公司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38</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顺昌县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福建水泥股份有限公司炼石水泥厂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39</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延平区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电解铝</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福建省南平铝业有限公司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40</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延平区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南平龙盛合成氨有限公司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延平区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福建省南纸股份有限公司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42</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政和县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福建省政和华厦水泥有限责任公司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宁德 　　（4家）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福安市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福建大唐国际宁德发电有限责任公司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福安市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福建鼎信实业有限公司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45</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福安市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福建青拓镍业有限公司（福建鼎信镍业有限公司）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46</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柘荣县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荣兴（福建）特种钢业有限公司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莆田 　　（3家）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仙游县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福建滨海化工有限公司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秀屿区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福建太平洋电力有限公司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49</w:t>
            </w: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秀屿区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中海福建燃气发电有限公司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c>
          <w:tcPr>
            <w:tcW w:w="0" w:type="auto"/>
            <w:vMerge w:val="restart"/>
            <w:tcBorders>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 　　（20家）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安溪县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福建三安钢铁有限公司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安溪县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福建安溪三元集发水泥有限公司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德化县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福建省海峡水泥股份有限公司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53</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惠安县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中化泉州石化有限公司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54</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惠安县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玖龙纸业（泉州）有限公司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55</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福建凤竹集团有限公司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56</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福建晋江热电有限公司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福建晋江天然气发电有限公司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58</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福建省晋江优兰发纸业有限公司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59</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恒安（中国）纸业有限公司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60</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晋江市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泉州华祥纸业有限公司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61</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南安市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泉州贵格纸业有限公司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泉港区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国电泉州热电有限公司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63</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泉港区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福建炼化林德气体有限责任公司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64</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泉港区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福建联合石油化工有限公司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65</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石狮市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福建省鸿山热电有限责任公司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石狮市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福建省石狮热电有限责任公司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石狮市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神华福能发电有限责任公司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68</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永春县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福建海汇化工有限公司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69</w:t>
            </w:r>
          </w:p>
        </w:tc>
        <w:tc>
          <w:tcPr>
            <w:tcW w:w="0" w:type="auto"/>
            <w:vMerge w:val="continue"/>
            <w:tcBorders>
              <w:left w:val="single" w:color="666666"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永春县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福建省泉州美岭水泥有限公司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70</w:t>
            </w:r>
          </w:p>
        </w:tc>
        <w:tc>
          <w:tcPr>
            <w:tcW w:w="0" w:type="auto"/>
            <w:vMerge w:val="restart"/>
            <w:tcBorders>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 　　（23家）</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大田县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大田红狮水泥有限公司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大田县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福建省大田县盛岩水泥有限公司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大田县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福建省大田县新岩水泥有限公司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73</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大田县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福建省大田县鑫城水泥工业有限公司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74</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建宁县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福建铙山纸业集团有限公司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75</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建宁县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福建省建宁县联丰造纸有限公司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76</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将乐县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福建金牛水泥有限公司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将乐县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将乐金牛水泥有限公司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78</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将乐县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福建腾荣达制浆有限公司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79</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梅列区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福建省三钢（集团）有限责任公司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80</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明溪县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福建省明狮水泥有限公司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81</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清流县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福建省清流氨盛化工有限公司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82</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清流县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福建红火水泥有限公司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83</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三元区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福建三钢（集团）三明化工有限责任公司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三元区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三明金牛水泥有限公司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85</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沙县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福建省青山纸业股份有限公司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86</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永安市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福建华电永安发电有限公司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永安市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智胜化工股份有限公司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永安市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福建安砂建福水泥有限公司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永安市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福建省谋成水泥发展有限公司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90</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永安市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福建省永安金银湖水泥有限公司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永安市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福建省永安万年水泥有限公司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92</w:t>
            </w: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永安市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福建永安建福水泥有限公司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93</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 　　（19家）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东山县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玻璃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漳州旗滨玻璃有限公司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94</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华安县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漳州盈晟纸业有限公司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95</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龙海市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华阳电业有限公司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96</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龙海市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福建福欣特殊钢有限公司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97</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龙海市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福建希源纸业有限公司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98</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龙海市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华发纸业（福建）股份有限公司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龙海市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联盛纸业（龙海）有限公司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龙海市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龙海市榜山民政三星造纸厂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101</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龙海市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漳州华荣纸业有限公司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102</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南靖县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漳州八龙纸业有限公司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103</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南靖县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漳州港兴纸品有限公司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104</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南靖县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漳州友利达纸业发展有限公司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芗城区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福建三宝钢铁有限公司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漳浦县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玻璃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台玻福建光伏玻璃有限公司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107</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漳浦县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石化</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腾龙芳烃（漳州）有限公司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108</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长泰县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化工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福建省长庆化工有限公司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109</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长泰县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敦信纸业有限责任公司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110</w:t>
            </w:r>
          </w:p>
        </w:tc>
        <w:tc>
          <w:tcPr>
            <w:tcW w:w="0" w:type="auto"/>
            <w:vMerge w:val="continue"/>
            <w:tcBorders>
              <w:left w:val="single" w:color="666666" w:sz="6" w:space="0"/>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长泰县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福建省联盛纸业有限责任公司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111</w:t>
            </w:r>
          </w:p>
        </w:tc>
        <w:tc>
          <w:tcPr>
            <w:tcW w:w="0" w:type="auto"/>
            <w:vMerge w:val="continue"/>
            <w:tcBorders>
              <w:left w:val="single" w:color="666666"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长泰县</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造纸</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漳州联盛纸业有限公司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附件4</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核查报告格式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（重点排放单位名称）</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****年度</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温室气体排放核查报告</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核查机构名称（公章）：</w:t>
      </w:r>
      <w:r>
        <w:rPr>
          <w:rFonts w:ascii="宋体" w:hAnsi="宋体" w:eastAsia="宋体" w:cs="宋体"/>
          <w:color w:val="000000"/>
          <w:sz w:val="27"/>
          <w:szCs w:val="27"/>
          <w:lang/>
        </w:rPr>
        <w:br w:type="textWrapping"/>
      </w:r>
      <w:r>
        <w:rPr>
          <w:rFonts w:ascii="宋体" w:hAnsi="宋体" w:eastAsia="宋体" w:cs="宋体"/>
          <w:color w:val="000000"/>
          <w:sz w:val="27"/>
          <w:szCs w:val="27"/>
          <w:lang/>
        </w:rPr>
        <w:t>　　备案的核查行业领域：</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核查报告签发日期：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3893"/>
        <w:gridCol w:w="358"/>
        <w:gridCol w:w="237"/>
        <w:gridCol w:w="1226"/>
        <w:gridCol w:w="1774"/>
        <w:gridCol w:w="1580"/>
        <w:gridCol w:w="426"/>
        <w:gridCol w:w="47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重点排放单位名称</w:t>
            </w:r>
          </w:p>
        </w:tc>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地址</w:t>
            </w:r>
          </w:p>
        </w:tc>
        <w:tc>
          <w:tcPr>
            <w:tcW w:w="0" w:type="auto"/>
            <w:gridSpan w:val="2"/>
            <w:tcBorders>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联系方式（电话、email）</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重点排放单位是否是委托方？ □是 □否，如否，请填写以下内容。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委托方名称</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地址</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联系方式（电话、email）</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重点排放单位所属行业领域</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重点排放单位是否为独立法人</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核算和报告依据</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温室气体排放报告（初始）版本/日期</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温室气体排放报告（最终）版本/日期</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初始报告的排放量</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经核查后的排放量</w:t>
            </w:r>
          </w:p>
        </w:tc>
        <w:tc>
          <w:tcPr>
            <w:tcW w:w="0" w:type="auto"/>
            <w:gridSpan w:val="4"/>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4"/>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初始报告排放量和经核查后排放量差异的原因</w:t>
            </w:r>
          </w:p>
        </w:tc>
        <w:tc>
          <w:tcPr>
            <w:tcW w:w="0" w:type="auto"/>
            <w:gridSpan w:val="4"/>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核查结论</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重点排放单位的排放报告与核算方法与报告指南的符合性；</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xml:space="preserve">- </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重点排放单位的排放量声明；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重点排放单位的排放量存在异常波动的原因说明；</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核查过程中未覆盖的问题描述。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核查组长</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核查组成员</w:t>
            </w:r>
          </w:p>
        </w:tc>
        <w:tc>
          <w:tcPr>
            <w:tcW w:w="0" w:type="auto"/>
            <w:gridSpan w:val="7"/>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技术复核人</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批准人</w:t>
            </w:r>
          </w:p>
        </w:tc>
        <w:tc>
          <w:tcPr>
            <w:tcW w:w="0" w:type="auto"/>
            <w:gridSpan w:val="2"/>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签名</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日期</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目录</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核查报告正文（至少包括以下内容）</w:t>
      </w:r>
      <w:r>
        <w:rPr>
          <w:rFonts w:ascii="宋体" w:hAnsi="宋体" w:eastAsia="宋体" w:cs="宋体"/>
          <w:color w:val="000000"/>
          <w:sz w:val="27"/>
          <w:szCs w:val="27"/>
          <w:lang/>
        </w:rPr>
        <w:br w:type="textWrapping"/>
      </w:r>
      <w:r>
        <w:rPr>
          <w:rFonts w:ascii="宋体" w:hAnsi="宋体" w:eastAsia="宋体" w:cs="宋体"/>
          <w:color w:val="000000"/>
          <w:sz w:val="27"/>
          <w:szCs w:val="27"/>
          <w:lang/>
        </w:rPr>
        <w:t>　　1. 概述</w:t>
      </w:r>
      <w:r>
        <w:rPr>
          <w:rFonts w:ascii="宋体" w:hAnsi="宋体" w:eastAsia="宋体" w:cs="宋体"/>
          <w:color w:val="000000"/>
          <w:sz w:val="27"/>
          <w:szCs w:val="27"/>
          <w:lang/>
        </w:rPr>
        <w:br w:type="textWrapping"/>
      </w:r>
      <w:r>
        <w:rPr>
          <w:rFonts w:ascii="宋体" w:hAnsi="宋体" w:eastAsia="宋体" w:cs="宋体"/>
          <w:color w:val="000000"/>
          <w:sz w:val="27"/>
          <w:szCs w:val="27"/>
          <w:lang/>
        </w:rPr>
        <w:t>　　1.1 核查目的</w:t>
      </w:r>
      <w:r>
        <w:rPr>
          <w:rFonts w:ascii="宋体" w:hAnsi="宋体" w:eastAsia="宋体" w:cs="宋体"/>
          <w:color w:val="000000"/>
          <w:sz w:val="27"/>
          <w:szCs w:val="27"/>
          <w:lang/>
        </w:rPr>
        <w:br w:type="textWrapping"/>
      </w:r>
      <w:r>
        <w:rPr>
          <w:rFonts w:ascii="宋体" w:hAnsi="宋体" w:eastAsia="宋体" w:cs="宋体"/>
          <w:color w:val="000000"/>
          <w:sz w:val="27"/>
          <w:szCs w:val="27"/>
          <w:lang/>
        </w:rPr>
        <w:t>　　1.2 核查范围</w:t>
      </w:r>
      <w:r>
        <w:rPr>
          <w:rFonts w:ascii="宋体" w:hAnsi="宋体" w:eastAsia="宋体" w:cs="宋体"/>
          <w:color w:val="000000"/>
          <w:sz w:val="27"/>
          <w:szCs w:val="27"/>
          <w:lang/>
        </w:rPr>
        <w:br w:type="textWrapping"/>
      </w:r>
      <w:r>
        <w:rPr>
          <w:rFonts w:ascii="宋体" w:hAnsi="宋体" w:eastAsia="宋体" w:cs="宋体"/>
          <w:color w:val="000000"/>
          <w:sz w:val="27"/>
          <w:szCs w:val="27"/>
          <w:lang/>
        </w:rPr>
        <w:t>　　1.3 核查准则</w:t>
      </w:r>
      <w:r>
        <w:rPr>
          <w:rFonts w:ascii="宋体" w:hAnsi="宋体" w:eastAsia="宋体" w:cs="宋体"/>
          <w:color w:val="000000"/>
          <w:sz w:val="27"/>
          <w:szCs w:val="27"/>
          <w:lang/>
        </w:rPr>
        <w:br w:type="textWrapping"/>
      </w:r>
      <w:r>
        <w:rPr>
          <w:rFonts w:ascii="宋体" w:hAnsi="宋体" w:eastAsia="宋体" w:cs="宋体"/>
          <w:color w:val="000000"/>
          <w:sz w:val="27"/>
          <w:szCs w:val="27"/>
          <w:lang/>
        </w:rPr>
        <w:t>　　2. 核查过程和方法</w:t>
      </w:r>
      <w:r>
        <w:rPr>
          <w:rFonts w:ascii="宋体" w:hAnsi="宋体" w:eastAsia="宋体" w:cs="宋体"/>
          <w:color w:val="000000"/>
          <w:sz w:val="27"/>
          <w:szCs w:val="27"/>
          <w:lang/>
        </w:rPr>
        <w:br w:type="textWrapping"/>
      </w:r>
      <w:r>
        <w:rPr>
          <w:rFonts w:ascii="宋体" w:hAnsi="宋体" w:eastAsia="宋体" w:cs="宋体"/>
          <w:color w:val="000000"/>
          <w:sz w:val="27"/>
          <w:szCs w:val="27"/>
          <w:lang/>
        </w:rPr>
        <w:t>　　2.1 核查组安排</w:t>
      </w:r>
      <w:r>
        <w:rPr>
          <w:rFonts w:ascii="宋体" w:hAnsi="宋体" w:eastAsia="宋体" w:cs="宋体"/>
          <w:color w:val="000000"/>
          <w:sz w:val="27"/>
          <w:szCs w:val="27"/>
          <w:lang/>
        </w:rPr>
        <w:br w:type="textWrapping"/>
      </w:r>
      <w:r>
        <w:rPr>
          <w:rFonts w:ascii="宋体" w:hAnsi="宋体" w:eastAsia="宋体" w:cs="宋体"/>
          <w:color w:val="000000"/>
          <w:sz w:val="27"/>
          <w:szCs w:val="27"/>
          <w:lang/>
        </w:rPr>
        <w:t>　　2.2 文件评审</w:t>
      </w:r>
      <w:r>
        <w:rPr>
          <w:rFonts w:ascii="宋体" w:hAnsi="宋体" w:eastAsia="宋体" w:cs="宋体"/>
          <w:color w:val="000000"/>
          <w:sz w:val="27"/>
          <w:szCs w:val="27"/>
          <w:lang/>
        </w:rPr>
        <w:br w:type="textWrapping"/>
      </w:r>
      <w:r>
        <w:rPr>
          <w:rFonts w:ascii="宋体" w:hAnsi="宋体" w:eastAsia="宋体" w:cs="宋体"/>
          <w:color w:val="000000"/>
          <w:sz w:val="27"/>
          <w:szCs w:val="27"/>
          <w:lang/>
        </w:rPr>
        <w:t>　　2.3现场核查</w:t>
      </w:r>
      <w:r>
        <w:rPr>
          <w:rFonts w:ascii="宋体" w:hAnsi="宋体" w:eastAsia="宋体" w:cs="宋体"/>
          <w:color w:val="000000"/>
          <w:sz w:val="27"/>
          <w:szCs w:val="27"/>
          <w:lang/>
        </w:rPr>
        <w:br w:type="textWrapping"/>
      </w:r>
      <w:r>
        <w:rPr>
          <w:rFonts w:ascii="宋体" w:hAnsi="宋体" w:eastAsia="宋体" w:cs="宋体"/>
          <w:color w:val="000000"/>
          <w:sz w:val="27"/>
          <w:szCs w:val="27"/>
          <w:lang/>
        </w:rPr>
        <w:t>　　2.4 核查报告编写及内部技术复核</w:t>
      </w:r>
      <w:r>
        <w:rPr>
          <w:rFonts w:ascii="宋体" w:hAnsi="宋体" w:eastAsia="宋体" w:cs="宋体"/>
          <w:color w:val="000000"/>
          <w:sz w:val="27"/>
          <w:szCs w:val="27"/>
          <w:lang/>
        </w:rPr>
        <w:br w:type="textWrapping"/>
      </w:r>
      <w:r>
        <w:rPr>
          <w:rFonts w:ascii="宋体" w:hAnsi="宋体" w:eastAsia="宋体" w:cs="宋体"/>
          <w:color w:val="000000"/>
          <w:sz w:val="27"/>
          <w:szCs w:val="27"/>
          <w:lang/>
        </w:rPr>
        <w:t>　　3. 核查发现</w:t>
      </w:r>
      <w:r>
        <w:rPr>
          <w:rFonts w:ascii="宋体" w:hAnsi="宋体" w:eastAsia="宋体" w:cs="宋体"/>
          <w:color w:val="000000"/>
          <w:sz w:val="27"/>
          <w:szCs w:val="27"/>
          <w:lang/>
        </w:rPr>
        <w:br w:type="textWrapping"/>
      </w:r>
      <w:r>
        <w:rPr>
          <w:rFonts w:ascii="宋体" w:hAnsi="宋体" w:eastAsia="宋体" w:cs="宋体"/>
          <w:color w:val="000000"/>
          <w:sz w:val="27"/>
          <w:szCs w:val="27"/>
          <w:lang/>
        </w:rPr>
        <w:t>　　3.1　 重点排放单位基本情况的核查</w:t>
      </w:r>
      <w:r>
        <w:rPr>
          <w:rFonts w:ascii="宋体" w:hAnsi="宋体" w:eastAsia="宋体" w:cs="宋体"/>
          <w:color w:val="000000"/>
          <w:sz w:val="27"/>
          <w:szCs w:val="27"/>
          <w:lang/>
        </w:rPr>
        <w:br w:type="textWrapping"/>
      </w:r>
      <w:r>
        <w:rPr>
          <w:rFonts w:ascii="宋体" w:hAnsi="宋体" w:eastAsia="宋体" w:cs="宋体"/>
          <w:color w:val="000000"/>
          <w:sz w:val="27"/>
          <w:szCs w:val="27"/>
          <w:lang/>
        </w:rPr>
        <w:t>　　3.2　 核算边界的核查</w:t>
      </w:r>
      <w:r>
        <w:rPr>
          <w:rFonts w:ascii="宋体" w:hAnsi="宋体" w:eastAsia="宋体" w:cs="宋体"/>
          <w:color w:val="000000"/>
          <w:sz w:val="27"/>
          <w:szCs w:val="27"/>
          <w:lang/>
        </w:rPr>
        <w:br w:type="textWrapping"/>
      </w:r>
      <w:r>
        <w:rPr>
          <w:rFonts w:ascii="宋体" w:hAnsi="宋体" w:eastAsia="宋体" w:cs="宋体"/>
          <w:color w:val="000000"/>
          <w:sz w:val="27"/>
          <w:szCs w:val="27"/>
          <w:lang/>
        </w:rPr>
        <w:t>　　3.3　核算方法的核查</w:t>
      </w:r>
      <w:r>
        <w:rPr>
          <w:rFonts w:ascii="宋体" w:hAnsi="宋体" w:eastAsia="宋体" w:cs="宋体"/>
          <w:color w:val="000000"/>
          <w:sz w:val="27"/>
          <w:szCs w:val="27"/>
          <w:lang/>
        </w:rPr>
        <w:br w:type="textWrapping"/>
      </w:r>
      <w:r>
        <w:rPr>
          <w:rFonts w:ascii="宋体" w:hAnsi="宋体" w:eastAsia="宋体" w:cs="宋体"/>
          <w:color w:val="000000"/>
          <w:sz w:val="27"/>
          <w:szCs w:val="27"/>
          <w:lang/>
        </w:rPr>
        <w:t>　　3.4　 核算数据的核查</w:t>
      </w:r>
      <w:r>
        <w:rPr>
          <w:rFonts w:ascii="宋体" w:hAnsi="宋体" w:eastAsia="宋体" w:cs="宋体"/>
          <w:color w:val="000000"/>
          <w:sz w:val="27"/>
          <w:szCs w:val="27"/>
          <w:lang/>
        </w:rPr>
        <w:br w:type="textWrapping"/>
      </w:r>
      <w:r>
        <w:rPr>
          <w:rFonts w:ascii="宋体" w:hAnsi="宋体" w:eastAsia="宋体" w:cs="宋体"/>
          <w:color w:val="000000"/>
          <w:sz w:val="27"/>
          <w:szCs w:val="27"/>
          <w:lang/>
        </w:rPr>
        <w:t>　　3.4.1 活动数据及来源的核查</w:t>
      </w:r>
      <w:r>
        <w:rPr>
          <w:rFonts w:ascii="宋体" w:hAnsi="宋体" w:eastAsia="宋体" w:cs="宋体"/>
          <w:color w:val="000000"/>
          <w:sz w:val="27"/>
          <w:szCs w:val="27"/>
          <w:lang/>
        </w:rPr>
        <w:br w:type="textWrapping"/>
      </w:r>
      <w:r>
        <w:rPr>
          <w:rFonts w:ascii="宋体" w:hAnsi="宋体" w:eastAsia="宋体" w:cs="宋体"/>
          <w:color w:val="000000"/>
          <w:sz w:val="27"/>
          <w:szCs w:val="27"/>
          <w:lang/>
        </w:rPr>
        <w:t>　　3.4.1.1 活动数据1</w:t>
      </w:r>
      <w:r>
        <w:rPr>
          <w:rFonts w:ascii="宋体" w:hAnsi="宋体" w:eastAsia="宋体" w:cs="宋体"/>
          <w:color w:val="000000"/>
          <w:sz w:val="27"/>
          <w:szCs w:val="27"/>
          <w:lang/>
        </w:rPr>
        <w:br w:type="textWrapping"/>
      </w:r>
      <w:r>
        <w:rPr>
          <w:rFonts w:ascii="宋体" w:hAnsi="宋体" w:eastAsia="宋体" w:cs="宋体"/>
          <w:color w:val="000000"/>
          <w:sz w:val="27"/>
          <w:szCs w:val="27"/>
          <w:lang/>
        </w:rPr>
        <w:t>　　3.4.1.2 活动数据2</w:t>
      </w: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lang/>
        </w:rPr>
        <w:br w:type="textWrapping"/>
      </w:r>
      <w:r>
        <w:rPr>
          <w:rFonts w:ascii="宋体" w:hAnsi="宋体" w:eastAsia="宋体" w:cs="宋体"/>
          <w:color w:val="000000"/>
          <w:sz w:val="27"/>
          <w:szCs w:val="27"/>
          <w:lang/>
        </w:rPr>
        <w:t>　　3.4.2 排放因子和计算系数数据及来源的核查</w:t>
      </w:r>
      <w:r>
        <w:rPr>
          <w:rFonts w:ascii="宋体" w:hAnsi="宋体" w:eastAsia="宋体" w:cs="宋体"/>
          <w:color w:val="000000"/>
          <w:sz w:val="27"/>
          <w:szCs w:val="27"/>
          <w:lang/>
        </w:rPr>
        <w:br w:type="textWrapping"/>
      </w:r>
      <w:r>
        <w:rPr>
          <w:rFonts w:ascii="宋体" w:hAnsi="宋体" w:eastAsia="宋体" w:cs="宋体"/>
          <w:color w:val="000000"/>
          <w:sz w:val="27"/>
          <w:szCs w:val="27"/>
          <w:lang/>
        </w:rPr>
        <w:t>　　3.4.2.1 排放因子和计算系数1</w:t>
      </w:r>
      <w:r>
        <w:rPr>
          <w:rFonts w:ascii="宋体" w:hAnsi="宋体" w:eastAsia="宋体" w:cs="宋体"/>
          <w:color w:val="000000"/>
          <w:sz w:val="27"/>
          <w:szCs w:val="27"/>
          <w:lang/>
        </w:rPr>
        <w:br w:type="textWrapping"/>
      </w:r>
      <w:r>
        <w:rPr>
          <w:rFonts w:ascii="宋体" w:hAnsi="宋体" w:eastAsia="宋体" w:cs="宋体"/>
          <w:color w:val="000000"/>
          <w:sz w:val="27"/>
          <w:szCs w:val="27"/>
          <w:lang/>
        </w:rPr>
        <w:t>　　3.4.2.2 排放因子和计算系数2</w:t>
      </w:r>
      <w:r>
        <w:rPr>
          <w:rFonts w:ascii="宋体" w:hAnsi="宋体" w:eastAsia="宋体" w:cs="宋体"/>
          <w:color w:val="000000"/>
          <w:sz w:val="27"/>
          <w:szCs w:val="27"/>
          <w:lang/>
        </w:rPr>
        <w:br w:type="textWrapping"/>
      </w:r>
      <w:r>
        <w:rPr>
          <w:rFonts w:ascii="宋体" w:hAnsi="宋体" w:eastAsia="宋体" w:cs="宋体"/>
          <w:color w:val="000000"/>
          <w:sz w:val="27"/>
          <w:szCs w:val="27"/>
          <w:lang/>
        </w:rPr>
        <w:t>　　……</w:t>
      </w:r>
      <w:r>
        <w:rPr>
          <w:rFonts w:ascii="宋体" w:hAnsi="宋体" w:eastAsia="宋体" w:cs="宋体"/>
          <w:color w:val="000000"/>
          <w:sz w:val="27"/>
          <w:szCs w:val="27"/>
          <w:lang/>
        </w:rPr>
        <w:br w:type="textWrapping"/>
      </w:r>
      <w:r>
        <w:rPr>
          <w:rFonts w:ascii="宋体" w:hAnsi="宋体" w:eastAsia="宋体" w:cs="宋体"/>
          <w:color w:val="000000"/>
          <w:sz w:val="27"/>
          <w:szCs w:val="27"/>
          <w:lang/>
        </w:rPr>
        <w:t>　　3.4.3 排放量的核查</w:t>
      </w:r>
      <w:r>
        <w:rPr>
          <w:rFonts w:ascii="宋体" w:hAnsi="宋体" w:eastAsia="宋体" w:cs="宋体"/>
          <w:color w:val="000000"/>
          <w:sz w:val="27"/>
          <w:szCs w:val="27"/>
          <w:lang/>
        </w:rPr>
        <w:br w:type="textWrapping"/>
      </w:r>
      <w:r>
        <w:rPr>
          <w:rFonts w:ascii="宋体" w:hAnsi="宋体" w:eastAsia="宋体" w:cs="宋体"/>
          <w:color w:val="000000"/>
          <w:sz w:val="27"/>
          <w:szCs w:val="27"/>
          <w:lang/>
        </w:rPr>
        <w:t>　　3.4.4配额分配相关补充数据的核查</w:t>
      </w:r>
      <w:r>
        <w:rPr>
          <w:rFonts w:ascii="宋体" w:hAnsi="宋体" w:eastAsia="宋体" w:cs="宋体"/>
          <w:color w:val="000000"/>
          <w:sz w:val="27"/>
          <w:szCs w:val="27"/>
          <w:lang/>
        </w:rPr>
        <w:br w:type="textWrapping"/>
      </w:r>
      <w:r>
        <w:rPr>
          <w:rFonts w:ascii="宋体" w:hAnsi="宋体" w:eastAsia="宋体" w:cs="宋体"/>
          <w:color w:val="000000"/>
          <w:sz w:val="27"/>
          <w:szCs w:val="27"/>
          <w:lang/>
        </w:rPr>
        <w:t>　　3.5　 质量保证和文件存档的核查</w:t>
      </w:r>
      <w:r>
        <w:rPr>
          <w:rFonts w:ascii="宋体" w:hAnsi="宋体" w:eastAsia="宋体" w:cs="宋体"/>
          <w:color w:val="000000"/>
          <w:sz w:val="27"/>
          <w:szCs w:val="27"/>
          <w:lang/>
        </w:rPr>
        <w:br w:type="textWrapping"/>
      </w:r>
      <w:r>
        <w:rPr>
          <w:rFonts w:ascii="宋体" w:hAnsi="宋体" w:eastAsia="宋体" w:cs="宋体"/>
          <w:color w:val="000000"/>
          <w:sz w:val="27"/>
          <w:szCs w:val="27"/>
          <w:lang/>
        </w:rPr>
        <w:t>　　3.6　 其他核查发现</w:t>
      </w:r>
      <w:r>
        <w:rPr>
          <w:rFonts w:ascii="宋体" w:hAnsi="宋体" w:eastAsia="宋体" w:cs="宋体"/>
          <w:color w:val="000000"/>
          <w:sz w:val="27"/>
          <w:szCs w:val="27"/>
          <w:lang/>
        </w:rPr>
        <w:br w:type="textWrapping"/>
      </w:r>
      <w:r>
        <w:rPr>
          <w:rFonts w:ascii="宋体" w:hAnsi="宋体" w:eastAsia="宋体" w:cs="宋体"/>
          <w:color w:val="000000"/>
          <w:sz w:val="27"/>
          <w:szCs w:val="27"/>
          <w:lang/>
        </w:rPr>
        <w:t>　　4. 核查结论</w:t>
      </w:r>
      <w:r>
        <w:rPr>
          <w:rFonts w:ascii="宋体" w:hAnsi="宋体" w:eastAsia="宋体" w:cs="宋体"/>
          <w:color w:val="000000"/>
          <w:sz w:val="27"/>
          <w:szCs w:val="27"/>
          <w:lang/>
        </w:rPr>
        <w:br w:type="textWrapping"/>
      </w:r>
      <w:r>
        <w:rPr>
          <w:rFonts w:ascii="宋体" w:hAnsi="宋体" w:eastAsia="宋体" w:cs="宋体"/>
          <w:color w:val="000000"/>
          <w:sz w:val="27"/>
          <w:szCs w:val="27"/>
          <w:lang/>
        </w:rPr>
        <w:t>　　5.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 1：不符合清单</w:t>
      </w:r>
      <w:r>
        <w:rPr>
          <w:rFonts w:ascii="宋体" w:hAnsi="宋体" w:eastAsia="宋体" w:cs="宋体"/>
          <w:color w:val="000000"/>
          <w:sz w:val="27"/>
          <w:szCs w:val="27"/>
          <w:lang/>
        </w:rPr>
        <w:br w:type="textWrapping"/>
      </w:r>
      <w:r>
        <w:rPr>
          <w:rFonts w:ascii="宋体" w:hAnsi="宋体" w:eastAsia="宋体" w:cs="宋体"/>
          <w:color w:val="000000"/>
          <w:sz w:val="27"/>
          <w:szCs w:val="27"/>
          <w:lang/>
        </w:rPr>
        <w:t>　　2：对今后核算活动的建议</w:t>
      </w:r>
      <w:r>
        <w:rPr>
          <w:rFonts w:ascii="宋体" w:hAnsi="宋体" w:eastAsia="宋体" w:cs="宋体"/>
          <w:color w:val="000000"/>
          <w:sz w:val="27"/>
          <w:szCs w:val="27"/>
          <w:lang/>
        </w:rPr>
        <w:br w:type="textWrapping"/>
      </w:r>
      <w:r>
        <w:rPr>
          <w:rFonts w:ascii="宋体" w:hAnsi="宋体" w:eastAsia="宋体" w:cs="宋体"/>
          <w:color w:val="000000"/>
          <w:sz w:val="27"/>
          <w:szCs w:val="27"/>
          <w:lang/>
        </w:rPr>
        <w:t>　　支持性文件清单（略）</w:t>
      </w: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不符合清单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39"/>
        <w:gridCol w:w="1975"/>
        <w:gridCol w:w="5429"/>
        <w:gridCol w:w="1630"/>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不符合描述</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重点排放单位原因分析及整改措施</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核查结论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"https://www.pkulaw.com/lar/a5cc1f364854987f3966c91c79dd5b74bdfb.html"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https://www.pkulaw.com/lar/a5cc1f364854987f3966c91c79dd5b74bdfb.html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【法宝引证码】CLI.14.1192136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78C1E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2023-01-28T16:40:18Z</dcterms:created>
  <dc:creator>xmintie.</dc:creator>
  <cp:lastModifiedBy>xmintie.</cp:lastModifiedBy>
  <dcterms:modified xsi:type="dcterms:W3CDTF">2023-01-28T16:40:18Z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2A15FE40C3F14DB6ADF925CCC81DE9AF</vt:lpwstr>
  </property>
</Properties>
</file>