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龙岩市物价局转发省物价局关于核定碳排放权交易服务收费标准的通知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龙岩市物价局转发省物价局关于核定碳排放权交易服务收费标准的通知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龙发改价[2016]价144号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各县（市、区）物价局、龙岩经济技术开发区（龙岩高新区）经发局：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现将《福建省物价局关于核定碳排放权交易服务收费标准的通知》(闽价服〔2016〕343号)转发给你们，请认真遵照执行。</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龙岩市物价局</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2016年11月29日</w:t>
      </w:r>
    </w:p>
    <w:p>
      <w:pPr>
        <w:pStyle w:val="9"/>
        <w:spacing w:before="0" w:after="300" w:line="24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"https://resources.pkulaw.cn/staticfiles/lawinfo/20210417/15/58/0/6d94e1f34d179d4057ce8261565b8f8a.doc" \t "_blank" </w:instrText>
      </w:r>
      <w:r>
        <w:rPr>
          <w:rFonts w:ascii="宋体" w:hAnsi="宋体" w:eastAsia="宋体" w:cs="宋体"/>
          <w:color w:val="000000"/>
          <w:sz w:val="27"/>
          <w:szCs w:val="27"/>
          <w:lang/>
        </w:rPr>
        <w:fldChar w:fldCharType="separate"/>
      </w:r>
      <w:r>
        <w:rPr>
          <w:rStyle w:val="11"/>
          <w:rFonts w:ascii="宋体" w:hAnsi="宋体" w:eastAsia="宋体" w:cs="宋体"/>
          <w:sz w:val="27"/>
          <w:szCs w:val="27"/>
          <w:lang/>
        </w:rPr>
        <w:t>闽价服〔2016〕343号福建省物价局关于核定碳排放权交易服务收费标准的通知.doc</w:t>
      </w:r>
      <w:r>
        <w:rPr>
          <w:rStyle w:val="11"/>
          <w:rFonts w:ascii="宋体" w:hAnsi="宋体" w:eastAsia="宋体" w:cs="宋体"/>
          <w:sz w:val="27"/>
          <w:szCs w:val="27"/>
          <w:lang/>
        </w:rPr>
        <w:fldChar w:fldCharType="end"/>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"https://www.pkulaw.com/lar/ef10dc66d67d1c476738756a8a2d7dc9bdfb.html"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https://www.pkulaw.com/lar/ef10dc66d67d1c476738756a8a2d7dc9bdfb.html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【法宝引证码】CLI.14.3932323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31A43D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span"/>
    <w:basedOn w:val="4"/>
    <w:uiPriority w:val="0"/>
    <w:rPr>
      <w:sz w:val="24"/>
      <w:szCs w:val="24"/>
      <w:vertAlign w:val="baseli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2023-01-28T16:44:07Z</dcterms:created>
  <dc:creator>xmintie.</dc:creator>
  <cp:lastModifiedBy>xmintie.</cp:lastModifiedBy>
  <dcterms:modified xsi:type="dcterms:W3CDTF">2023-01-28T16:44:07Z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389404A732F84827A139842DEA998D60</vt:lpwstr>
  </property>
</Properties>
</file>