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重庆市发展和改革委员会、重庆市经济和信息委员会、重庆市生态环境局等关于印发《重庆市严格能效约束推动重点领域节能降碳实施方案》的通知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重庆市发展和改革委员会、重庆市经济和信息委员会、重庆市生态环境局、重庆市市场监督管理局、重庆市能源局关于印发《重庆市严格能效约束推动重点领域节能降碳实施方案》的通知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（渝发改工业〔2022〕270号）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市科技局、市财政局、人行重庆营管部、重庆证监局、市大数据发展局，各区县（自治县）发展改革委、经济信息委、生态环境局、市场监管局、能源局：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根据国家发展改革委等部门《</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"https://www.pkulaw.com/chl/8f25431ba90b6d44bdfb.html?way=textSlc"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关于严格能效约束推动重点领域节能降碳的若干意见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》（发改产业〔2021〕1464号），现将《重庆市严格能效约束推动重点领域节能降碳实施方案》印发你们，请结合职能职责组织实施。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重庆市发展和改革委员会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重庆市经济和信息委员会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重庆市生态环境局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重庆市市场监督管理局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重庆市能源局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2022年2月28日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重庆市严格能效约束推动重点领域节能降碳实施方案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为贯彻落实党中央国务院关于碳达峰碳中和重大战略部署，根据国家发展改革委、工业和信息化部、生态环境部、市场监管总局、国家能源局联合印发的《</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"https://www.pkulaw.com/chl/8f25431ba90b6d44bdfb.html?way=textSlc"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关于严格能效约束推动重点领域节能降碳的若干意见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发改产业〔2021〕1464号）和《关于发布〈高耗能行业重点领域能效标杆水平和基准水平（2021年版）〉的通知》（发改产业〔2021〕1609号）（以下分别简称《意见》《通知》），科学有序推动重庆市重点领域节能降碳，加快重点行业绿色转型，制定本实施方案。</w:t>
      </w:r>
      <w:r>
        <w:rPr>
          <w:rFonts w:ascii="宋体" w:hAnsi="宋体" w:eastAsia="宋体" w:cs="宋体"/>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（一）指导思想</w:t>
      </w:r>
      <w:r>
        <w:rPr>
          <w:rFonts w:ascii="宋体" w:hAnsi="宋体" w:eastAsia="宋体" w:cs="宋体"/>
          <w:color w:val="000000"/>
          <w:sz w:val="27"/>
          <w:szCs w:val="27"/>
          <w:lang/>
        </w:rPr>
        <w:br w:type="textWrapping"/>
      </w:r>
      <w:r>
        <w:rPr>
          <w:rFonts w:ascii="宋体" w:hAnsi="宋体" w:eastAsia="宋体" w:cs="宋体"/>
          <w:color w:val="000000"/>
          <w:sz w:val="27"/>
          <w:szCs w:val="27"/>
          <w:lang/>
        </w:rPr>
        <w:t>　　以习近平新时代中国特色社会主义思想为指导，深入贯彻习近平生态文明思想和习近平总书记对重庆提出的营造良好政治生态，坚持“两点”定位、“两地”“两高”目标，发挥“三个作用”和推动成渝地区双城经济圈等重要指示要求，立足新发展阶段，完整、准确、全面贯彻新发展理念，积极融入和服务新发展格局，科学处理发展和减排、整体和局部、短期和中长期的关系，突出标准引领作用，深挖节能降碳技术改造潜力，强化系统观念，推进综合施策，严格监督管理，加快重点领域节能降碳步伐，带动产业绿色低碳转型，助推全市绿色低碳循环发展经济体系建立，确保如期实现碳达峰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（二）基本原则</w:t>
      </w:r>
      <w:r>
        <w:rPr>
          <w:rFonts w:ascii="宋体" w:hAnsi="宋体" w:eastAsia="宋体" w:cs="宋体"/>
          <w:color w:val="000000"/>
          <w:sz w:val="27"/>
          <w:szCs w:val="27"/>
          <w:lang/>
        </w:rPr>
        <w:br w:type="textWrapping"/>
      </w:r>
      <w:r>
        <w:rPr>
          <w:rFonts w:ascii="宋体" w:hAnsi="宋体" w:eastAsia="宋体" w:cs="宋体"/>
          <w:color w:val="000000"/>
          <w:sz w:val="27"/>
          <w:szCs w:val="27"/>
          <w:lang/>
        </w:rPr>
        <w:t>　　坚持重点突破，分步实施。把握重庆发展阶段和产业特征，抓住主要矛盾，聚焦重点领域，稳妥开展节能降碳技术改造。待相关机制及改造路径运行成熟和能效水平标准明确后，再研究推广至其他行业领域。</w:t>
      </w:r>
      <w:r>
        <w:rPr>
          <w:rFonts w:ascii="宋体" w:hAnsi="宋体" w:eastAsia="宋体" w:cs="宋体"/>
          <w:color w:val="000000"/>
          <w:sz w:val="27"/>
          <w:szCs w:val="27"/>
          <w:lang/>
        </w:rPr>
        <w:br w:type="textWrapping"/>
      </w:r>
      <w:r>
        <w:rPr>
          <w:rFonts w:ascii="宋体" w:hAnsi="宋体" w:eastAsia="宋体" w:cs="宋体"/>
          <w:color w:val="000000"/>
          <w:sz w:val="27"/>
          <w:szCs w:val="27"/>
          <w:lang/>
        </w:rPr>
        <w:t>　　坚持对标标杆，分类指导。突出标准引领作用，根据各行业实际情况，对标国家明确的高耗能行业重点领域能效水平严格实施分类管理，拟建项目应对照标杆水平高起点设计建设，引导未达到基准水平的存量和在建项目对照标杆水平实施改造升级，坚决淘汰落后产能、落后工艺、落后产品。</w:t>
      </w:r>
      <w:r>
        <w:rPr>
          <w:rFonts w:ascii="宋体" w:hAnsi="宋体" w:eastAsia="宋体" w:cs="宋体"/>
          <w:color w:val="000000"/>
          <w:sz w:val="27"/>
          <w:szCs w:val="27"/>
          <w:lang/>
        </w:rPr>
        <w:br w:type="textWrapping"/>
      </w:r>
      <w:r>
        <w:rPr>
          <w:rFonts w:ascii="宋体" w:hAnsi="宋体" w:eastAsia="宋体" w:cs="宋体"/>
          <w:color w:val="000000"/>
          <w:sz w:val="27"/>
          <w:szCs w:val="27"/>
          <w:lang/>
        </w:rPr>
        <w:t>　　坚持从严监管，分工协作。压实企业主体责任，落实区县政府属地监管责任，强化市级部门协同联动，加强专业机构和行业协会指导帮助。严格节能审查和事中事后监管，加强企业能耗和碳排放日常监测，建立健全违规行为监督问责机制。</w:t>
      </w:r>
      <w:r>
        <w:rPr>
          <w:rFonts w:ascii="宋体" w:hAnsi="宋体" w:eastAsia="宋体" w:cs="宋体"/>
          <w:color w:val="000000"/>
          <w:sz w:val="27"/>
          <w:szCs w:val="27"/>
          <w:lang/>
        </w:rPr>
        <w:br w:type="textWrapping"/>
      </w:r>
      <w:r>
        <w:rPr>
          <w:rFonts w:ascii="宋体" w:hAnsi="宋体" w:eastAsia="宋体" w:cs="宋体"/>
          <w:color w:val="000000"/>
          <w:sz w:val="27"/>
          <w:szCs w:val="27"/>
          <w:lang/>
        </w:rPr>
        <w:t>　　坚持综合施策，平稳有序。整合已有政策工具，加强财政、金融、投资、价格等政策与产业、环保政策的协调配合，运用市场化法治化方式，稳妥有序推动重点领域节能降碳。避免“一刀切”管理和“运动式”减碳，确保产业链供应链安全和经济社会平稳运行。</w:t>
      </w:r>
      <w:r>
        <w:rPr>
          <w:rFonts w:ascii="宋体" w:hAnsi="宋体" w:eastAsia="宋体" w:cs="宋体"/>
          <w:color w:val="000000"/>
          <w:sz w:val="27"/>
          <w:szCs w:val="27"/>
          <w:lang/>
        </w:rPr>
        <w:br w:type="textWrapping"/>
      </w:r>
      <w:r>
        <w:rPr>
          <w:rFonts w:ascii="宋体" w:hAnsi="宋体" w:eastAsia="宋体" w:cs="宋体"/>
          <w:color w:val="000000"/>
          <w:sz w:val="27"/>
          <w:szCs w:val="27"/>
          <w:lang/>
        </w:rPr>
        <w:t>　　（三）总体目标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到2025年，通过扎实开展节能降碳行动，推动重庆传统支柱产业绿色低碳转型，全市冶金、建材、石化化工等重点行业和数据中心整体能效水平明显提升，碳排放强度明显下降，绿色低碳发展能力显著增强，重点领域能效全部达到基准水平，标杆水平产能比例超过30%。</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到2030年，重点领域能效基准水平和标杆水平进一步提高，达到标杆水平企业比例大幅提高，行业整体能效水平和碳排放强度达到国际先进水平，为如期实现碳达峰目标提供有力支撑。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重点任务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（一）建立完善企业能效清单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区两级联动组织开展全市重点领域和数据中心能效水平情况摸底调查，认真排查现有项目、在建项目，科学评估拟建项目，逐一登记造册。委托专业机构并组织相关行业专家赴企业开展实地核查，逐一对照主要产品、主要用能设备等核实能效水平，组织企业申辩，并于2022年2月建立企业装置能效清单目录，能效达到标杆水平和低于基准水平的企业（装置），分别列入能效先进和落后清单，适时向社会公开、接受监督。（市发展改革委、市经济信息委、市能源局按职能分工负责，下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（二）组织制定技术改造实施方案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确保经济平稳运行、社会民生稳定基础上，按照“整体推进，一企一策”要求，2022年3月前，根据国家发展改革委等部委印发的《高耗能行业重点领域节能降碳改造升级实施指南（2022年版）》（发改产业〔2022〕200号），制定重庆市冶金、建材、石化化工等重点领域节能降碳企业技术改造总体实施方案。同时，由各区县主管部门指导督促辖区能效水平相对落后企业根据总体实施方案制定具体的企业（装置）节能降碳技术改造实施方案，科学合理制定不同企业节能改造时间表，明确推进步骤、改造期限、技术路线、工作节点、预期目标等。（市发展改革委、市经济信息委、市能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（三）稳妥组织企业实施技术改造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区县主管部门根据行业总体实施方案和企业节能降碳技术改造实施方案，指导企业落实好改造所需资金，加快技术改造进程，积极协助企业解决改造过程中存在的问题，确保项目的技术及经济可行性。依据能效标杆水平和基准水平，限期分批实施改造升级和淘汰。对于能效介于标杆水平和基准水平之间的企业，鼓励企业结合检修等时机参照标杆水平要求实施改造升级。对需要开展技术改造的项目，各区县要明确改造升级和淘汰时限（一般不超过3年）以及年度改造淘汰计划，推动企业能效在规定时限内改造升级到基准水平以上，力争达到能效标杆水平；对于不能按期改造完毕的项目推动淘汰退出。开展在建项目评估检查，能效水平低于本行业能耗限额准入值的在建项目（装置），按照有关规定停工整改，推动提升能效水平，力争达到标杆水平。坚决遏制高耗能项目不合理用能，对于能效低于本行业基准水平且未能按期改造升级的项目，限制用能。鼓励国有企业、骨干企业发挥引领作用，开展节能降碳示范性改造。改造过程中，在落实产能置换等要求前提下，鼓励企业开展兼并重组。（市发展改革委、市经济信息委、市能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（四）引导低效产能有序退出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综合发挥能耗、排放等约束性指标作用，严格执行有关标准、政策，加强监督检查，引导低效产能有序退出，加大淘汰落后产能工作力度，严格执行《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"https://www.pkulaw.com/chl/d1a4c138cdd428b0bdfb.html?way=textSlc"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产业结构调整指导目录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》等规定，坚决淘汰落后生产工艺、技术、设备。（市发展改革委、市经济信息委、市生态环境局、市能源局）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（五）严格项目准入要求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科学评估拟建项目，对产能已经饱和的行业按照“减量置换”原则压减产能，对产能尚未饱和的行业，要对标国际先进水平提高准入门槛，支持引导能耗较大的新兴产业应用绿色技术、提高能效水平。严禁新建1000万吨/年以下常减压、150万吨/年以下催化裂化、100万吨/年以下连续重整（含芳烃抽提）、150万吨/年以下加氢裂化，80万吨/年以下石脑油裂解制乙烯，固定层间歇气化技术制合成氨装置。新建电石、尿素（合成氨下游产业链之一）项目实施产能等量或减量置换。对不符合要求的“两高”项目坚决进行处置，对不符合产业政策、产能置换、节能审查、环评审批等要求，未履行相关审批手续，违规审批、未批先建、批建不符等违法违规行为，坚决依法查处。（市发展改革委、市经济信息委、市生态环境局、市场监管局、市能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（六）加强绿色低碳技术创新攻关和推广应用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关键节能低碳技术创新攻关。充分利用科研院所、行业协会和骨干企业的创新资源，深入研究重点领域重点行业节能低碳技术发展路线，引导企业开发绿色设计产品，实施清洁生产改造，建设绿色工厂。推动重点领域节能降碳关键核心技术攻关，建立完善重庆市绿色低碳技术推广目录。突破一批高效储能、能源电子、氢能、碳捕集利用封存、温和条件二氧化碳资源化利用等关键核心技术。加快绿色低碳技术装备推广应用。以新一代清洁高效、绿色低碳、可循环利用工艺装备为重点，推进节能改造和污染物深度治理。在重点领域重点行业推广高效精馏系统、高温高压干熄焦、富氧强化熔炼等节能技术。深入推动节能照明设备、节能终端显示设备、高效节能电线电缆、余热余压利用设备、建筑节能玻璃、绿色低碳外墙保温材料等绿色低碳技术装备的应用。（市科技局、市经济信息委、市发展改革委、市生态环境局、市能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（七）推进产业结构优化调整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动产业集中集约集聚发展，加快推进行业兼并重组，引导符合环境准入要求的行业企业向产业园区转移，鼓励不同行业和产业链上下游融合发展，做好产业布局、结构调整、节能审查与能耗双控政策的衔接。在钢铁、水泥等行业通过兼并重组实现聚集发展，提升行业整体能效。推动新建钢铁冶炼项目依托现有生产基地集聚发展，鼓励长流程钢厂通过就地改造转型发展电炉短流程炼钢。鼓励不同行业融合发展，提高资源转化效率，实现协同节能降碳，坚持炼化一体化、煤化电热一体化和多联发展方向，构建企业首尾相连、互为供需和生产装置互联互通的产业链。引导产业形成规模效应，突出能源环境等基础设施共建共享，降低单位产品能耗和碳排放。（市发展改革委、市经济信息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（八）推动数据中心绿色高质量发展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鼓励重点行业利用绿色数据中心等新型基础设施实现节能降耗。新建大型、超大型数据中心PUE值（电能利用效率）不超过1.3。到2025年，现有数据中心PUE值（电能利用效率）不超过1.5。同时满足我市相关规划布局、纳入全国一体化算力网络国家枢纽节点且PUE值（电能利用效率）小于等于1.25的新建数据中心项目，原则上可由市级统筹支持部分能耗。（市大数据发展局、市发展改革委、市经济信息委）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（一）加大财政金融支持力度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落实节能专用装备、技术改造和资源综合利用等鼓励政策以及税收优惠政策。用好市内各项专项资金，积极争取中央预算内投资，支持企业开展节能降碳技术改造。在现有奖补政策基础上，加大财政资金奖补力度，适当提高奖补比例。积极发展绿色金融，利用好碳减排支持工具，支持金融机构在风险可控、商业可持续的前提下，向节能降碳效应显著的重点项目提供高质量、全方位的金融服务。拓展绿色债券市场的深度和广度，支持符合条件的节能低碳发展企业上市融资和再融资。落实首台（套）重大技术装备示范应用、重点新材料首批次应用鼓励政策。（市发展改革委、市经济信息委、市财政局、人行重庆营管部、重庆证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（二）加强政策协同支撑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严格执行节能降碳相关政策，做好重点领域节能改造与产业结构调整、环境准入、节能审查、能耗双控、遏制“两高”项目盲目发展等工作的衔接。通过差别化电价、节能监察等手段推动市场调节，依靠现有重点用能企业节能监察、“百千万”行动、节能目标考核、环保监督执法等手段加大督促落实力度。严格落实有关产能置换政策，加大闲置产能、僵尸产能处置力度，加速淘汰落后产能。（市发展改革委、市经济信息委、市生态环境局、市场监管局、市能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（三）完善监督管理体系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健全重点领域能效和碳排放监察与评价体系，稳步推进企业能耗和碳排放核算、计量、报告、核查和评价工作。加强对重点行业能效水平执行情况的日常监测和现场检查，发挥各地节能主管部门作用，加大节能监察工作力度，统筹推进重点行业节能监察，确保相关政策标准落实落地。利用市内现有重点用能企业能耗在线监控平台，进一步拓展平台覆盖范围，提高平台监控能力及分析能力，强化日常监管。压实属地监管责任，建立健全通报批评、用能预警、约谈问责等工作机制，完善重点行业节能降碳监管体系，发挥信用信息共享平台作用，依法依规加强对违规企业的失信联合惩戒。（市发展改革委、市经济信息委、市生态环境局、市场监管局、市能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（四）加强政策宣传解读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充分利用政府部门、行业协会、新闻媒体等渠道，加强政策解读和舆论引导，积极回应社会关切和热点问题，传递以能效水平引领重点领域节能降碳的坚定决心。遴选重点行业能效水平突出企业，发布能效“领跑者”名单，形成一批可借鉴、可复制、可推广的经验，及时进行宣传推介。（市发展改革委、市经济信息委、市市场监管局、市能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高耗能行业重点领域能效标杆水平和基准水平 </w:t>
      </w:r>
    </w:p>
    <w:tbl>
      <w:tblPr>
        <w:tblStyle w:val="14"/>
        <w:tblW w:w="5000" w:type="pct"/>
        <w:tblInd w:w="453" w:type="dxa"/>
        <w:tblLayout w:type="autofit"/>
        <w:tblCellMar>
          <w:top w:w="0" w:type="dxa"/>
          <w:left w:w="0" w:type="dxa"/>
          <w:bottom w:w="0" w:type="dxa"/>
          <w:right w:w="0" w:type="dxa"/>
        </w:tblCellMar>
      </w:tblPr>
      <w:tblGrid>
        <w:gridCol w:w="406"/>
        <w:gridCol w:w="1466"/>
        <w:gridCol w:w="1258"/>
        <w:gridCol w:w="1454"/>
        <w:gridCol w:w="563"/>
        <w:gridCol w:w="1170"/>
        <w:gridCol w:w="684"/>
        <w:gridCol w:w="1163"/>
        <w:gridCol w:w="671"/>
        <w:gridCol w:w="671"/>
        <w:gridCol w:w="1096"/>
      </w:tblGrid>
      <w:tr>
        <w:tblPrEx>
          <w:tblCellMar>
            <w:top w:w="0" w:type="dxa"/>
            <w:left w:w="0" w:type="dxa"/>
            <w:bottom w:w="0" w:type="dxa"/>
            <w:right w:w="0" w:type="dxa"/>
          </w:tblCellMar>
        </w:tblPrEx>
        <w:trPr>
          <w:wBefore w:w="0" w:type="dxa"/>
        </w:trPr>
        <w:tc>
          <w:tcPr>
            <w:tcW w:w="0" w:type="auto"/>
            <w:vMerge w:val="restart"/>
            <w:tcBorders>
              <w:top w:val="single" w:color="000000" w:sz="8" w:space="0"/>
              <w:left w:val="single" w:color="000000" w:sz="8" w:space="0"/>
              <w:right w:val="single" w:color="000000" w:sz="8" w:space="0"/>
            </w:tcBorders>
            <w:noWrap w:val="0"/>
            <w:tcMar>
              <w:top w:w="0" w:type="dxa"/>
              <w:left w:w="68"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w:t>
            </w:r>
          </w:p>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号</w:t>
            </w:r>
          </w:p>
        </w:tc>
        <w:tc>
          <w:tcPr>
            <w:tcW w:w="0" w:type="auto"/>
            <w:gridSpan w:val="3"/>
            <w:tcBorders>
              <w:top w:val="single" w:color="000000" w:sz="8" w:space="0"/>
              <w:bottom w:val="single" w:color="000000" w:sz="8" w:space="0"/>
              <w:right w:val="single" w:color="000000" w:sz="8" w:space="0"/>
            </w:tcBorders>
            <w:noWrap w:val="0"/>
            <w:tcMar>
              <w:top w:w="0" w:type="dxa"/>
              <w:left w:w="63"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国民经济行业分类及代码</w:t>
            </w:r>
          </w:p>
        </w:tc>
        <w:tc>
          <w:tcPr>
            <w:tcW w:w="0" w:type="auto"/>
            <w:gridSpan w:val="2"/>
            <w:vMerge w:val="restart"/>
            <w:tcBorders>
              <w:top w:val="single" w:color="000000" w:sz="8" w:space="0"/>
              <w:right w:val="single" w:color="000000" w:sz="8" w:space="0"/>
            </w:tcBorders>
            <w:noWrap w:val="0"/>
            <w:tcMar>
              <w:top w:w="0" w:type="dxa"/>
              <w:left w:w="63"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重点领域</w:t>
            </w:r>
          </w:p>
        </w:tc>
        <w:tc>
          <w:tcPr>
            <w:tcW w:w="0" w:type="auto"/>
            <w:vMerge w:val="restart"/>
            <w:tcBorders>
              <w:top w:val="single" w:color="000000" w:sz="8" w:space="0"/>
              <w:right w:val="single" w:color="000000" w:sz="8" w:space="0"/>
            </w:tcBorders>
            <w:noWrap w:val="0"/>
            <w:tcMar>
              <w:top w:w="0" w:type="dxa"/>
              <w:left w:w="63"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指标名称</w:t>
            </w:r>
          </w:p>
        </w:tc>
        <w:tc>
          <w:tcPr>
            <w:tcW w:w="0" w:type="auto"/>
            <w:vMerge w:val="restart"/>
            <w:tcBorders>
              <w:top w:val="single" w:color="000000" w:sz="8" w:space="0"/>
              <w:right w:val="single" w:color="000000" w:sz="8" w:space="0"/>
            </w:tcBorders>
            <w:noWrap w:val="0"/>
            <w:tcMar>
              <w:top w:w="0" w:type="dxa"/>
              <w:left w:w="63"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指标单位</w:t>
            </w:r>
          </w:p>
        </w:tc>
        <w:tc>
          <w:tcPr>
            <w:tcW w:w="0" w:type="auto"/>
            <w:vMerge w:val="restart"/>
            <w:tcBorders>
              <w:top w:val="single" w:color="000000" w:sz="8" w:space="0"/>
              <w:right w:val="single" w:color="000000" w:sz="8" w:space="0"/>
            </w:tcBorders>
            <w:noWrap w:val="0"/>
            <w:tcMar>
              <w:top w:w="0" w:type="dxa"/>
              <w:left w:w="63"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标杆</w:t>
            </w:r>
          </w:p>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水平</w:t>
            </w:r>
          </w:p>
        </w:tc>
        <w:tc>
          <w:tcPr>
            <w:tcW w:w="0" w:type="auto"/>
            <w:vMerge w:val="restart"/>
            <w:tcBorders>
              <w:top w:val="single" w:color="000000" w:sz="8" w:space="0"/>
              <w:right w:val="single" w:color="000000" w:sz="8" w:space="0"/>
            </w:tcBorders>
            <w:noWrap w:val="0"/>
            <w:tcMar>
              <w:top w:w="0" w:type="dxa"/>
              <w:left w:w="63"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基准</w:t>
            </w:r>
          </w:p>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水平</w:t>
            </w:r>
          </w:p>
        </w:tc>
        <w:tc>
          <w:tcPr>
            <w:tcW w:w="0" w:type="auto"/>
            <w:vMerge w:val="restart"/>
            <w:tcBorders>
              <w:top w:val="single" w:color="000000" w:sz="8" w:space="0"/>
              <w:right w:val="single" w:color="000000" w:sz="8" w:space="0"/>
            </w:tcBorders>
            <w:noWrap w:val="0"/>
            <w:tcMar>
              <w:top w:w="0" w:type="dxa"/>
              <w:left w:w="63"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参考标准</w:t>
            </w:r>
          </w:p>
        </w:tc>
      </w:tr>
      <w:tr>
        <w:tblPrEx>
          <w:tblCellMar>
            <w:top w:w="0" w:type="dxa"/>
            <w:left w:w="0" w:type="dxa"/>
            <w:bottom w:w="0" w:type="dxa"/>
            <w:right w:w="0" w:type="dxa"/>
          </w:tblCellMar>
        </w:tblPrEx>
        <w:trPr>
          <w:wBefore w:w="0" w:type="dxa"/>
        </w:trPr>
        <w:tc>
          <w:tcPr>
            <w:tcW w:w="0" w:type="auto"/>
            <w:vMerge w:val="continue"/>
            <w:tcBorders>
              <w:top w:val="single" w:color="666666" w:sz="6" w:space="0"/>
              <w:left w:val="single" w:color="000000" w:sz="8" w:space="0"/>
              <w:bottom w:val="single" w:color="000000" w:sz="8" w:space="0"/>
              <w:right w:val="single" w:color="000000" w:sz="8"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bottom w:val="single" w:color="000000" w:sz="8" w:space="0"/>
              <w:right w:val="single" w:color="000000" w:sz="8" w:space="0"/>
            </w:tcBorders>
            <w:shd w:val="clear" w:color="auto" w:fill="F9F9F9"/>
            <w:noWrap w:val="0"/>
            <w:tcMar>
              <w:top w:w="0" w:type="dxa"/>
              <w:left w:w="63"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大类</w:t>
            </w:r>
          </w:p>
        </w:tc>
        <w:tc>
          <w:tcPr>
            <w:tcW w:w="0" w:type="auto"/>
            <w:tcBorders>
              <w:bottom w:val="single" w:color="000000" w:sz="8" w:space="0"/>
              <w:right w:val="single" w:color="000000" w:sz="8" w:space="0"/>
            </w:tcBorders>
            <w:shd w:val="clear" w:color="auto" w:fill="F9F9F9"/>
            <w:noWrap w:val="0"/>
            <w:tcMar>
              <w:top w:w="0" w:type="dxa"/>
              <w:left w:w="63"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中类</w:t>
            </w:r>
          </w:p>
        </w:tc>
        <w:tc>
          <w:tcPr>
            <w:tcW w:w="0" w:type="auto"/>
            <w:tcBorders>
              <w:bottom w:val="single" w:color="000000" w:sz="8" w:space="0"/>
              <w:right w:val="single" w:color="000000" w:sz="8" w:space="0"/>
            </w:tcBorders>
            <w:shd w:val="clear" w:color="auto" w:fill="F9F9F9"/>
            <w:noWrap w:val="0"/>
            <w:tcMar>
              <w:top w:w="0" w:type="dxa"/>
              <w:left w:w="63"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小类</w:t>
            </w:r>
          </w:p>
        </w:tc>
        <w:tc>
          <w:tcPr>
            <w:tcW w:w="0" w:type="auto"/>
            <w:gridSpan w:val="2"/>
            <w:vMerge w:val="continue"/>
            <w:tcBorders>
              <w:top w:val="single" w:color="666666" w:sz="6" w:space="0"/>
              <w:bottom w:val="single" w:color="000000" w:sz="8" w:space="0"/>
              <w:right w:val="single" w:color="000000" w:sz="8"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000000" w:sz="8" w:space="0"/>
              <w:right w:val="single" w:color="000000" w:sz="8"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000000" w:sz="8" w:space="0"/>
              <w:right w:val="single" w:color="000000" w:sz="8"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000000" w:sz="8" w:space="0"/>
              <w:right w:val="single" w:color="000000" w:sz="8"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000000" w:sz="8" w:space="0"/>
              <w:right w:val="single" w:color="000000" w:sz="8"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000000" w:sz="8" w:space="0"/>
              <w:right w:val="single" w:color="000000" w:sz="8" w:space="0"/>
            </w:tcBorders>
            <w:shd w:val="clear" w:color="auto" w:fill="auto"/>
            <w:noWrap w:val="0"/>
            <w:vAlign w:val="center"/>
          </w:tcPr>
          <w:p>
            <w:pPr>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vMerge w:val="restart"/>
            <w:tcBorders>
              <w:left w:val="single" w:color="000000" w:sz="8" w:space="0"/>
              <w:right w:val="single" w:color="000000" w:sz="8" w:space="0"/>
            </w:tcBorders>
            <w:noWrap w:val="0"/>
            <w:tcMar>
              <w:top w:w="0" w:type="dxa"/>
              <w:left w:w="68"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vMerge w:val="restart"/>
            <w:tcBorders>
              <w:right w:val="single" w:color="000000" w:sz="8" w:space="0"/>
            </w:tcBorders>
            <w:noWrap w:val="0"/>
            <w:tcMar>
              <w:top w:w="0" w:type="dxa"/>
              <w:left w:w="63"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石油、煤炭及其他燃料加工业（25）</w:t>
            </w:r>
          </w:p>
        </w:tc>
        <w:tc>
          <w:tcPr>
            <w:tcW w:w="0" w:type="auto"/>
            <w:tcBorders>
              <w:bottom w:val="single" w:color="000000" w:sz="8" w:space="0"/>
              <w:right w:val="single" w:color="000000" w:sz="8" w:space="0"/>
            </w:tcBorders>
            <w:noWrap w:val="0"/>
            <w:tcMar>
              <w:top w:w="0" w:type="dxa"/>
              <w:left w:w="63"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精炼石油产品制造</w:t>
            </w:r>
          </w:p>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（251）</w:t>
            </w:r>
          </w:p>
        </w:tc>
        <w:tc>
          <w:tcPr>
            <w:tcW w:w="0" w:type="auto"/>
            <w:tcBorders>
              <w:bottom w:val="single" w:color="000000" w:sz="8" w:space="0"/>
              <w:right w:val="single" w:color="000000" w:sz="8" w:space="0"/>
            </w:tcBorders>
            <w:noWrap w:val="0"/>
            <w:tcMar>
              <w:top w:w="0" w:type="dxa"/>
              <w:left w:w="63"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原油加工及石油制品制</w:t>
            </w:r>
          </w:p>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造（2511）</w:t>
            </w:r>
          </w:p>
        </w:tc>
        <w:tc>
          <w:tcPr>
            <w:tcW w:w="0" w:type="auto"/>
            <w:gridSpan w:val="2"/>
            <w:tcBorders>
              <w:bottom w:val="single" w:color="000000" w:sz="8" w:space="0"/>
              <w:right w:val="single" w:color="000000" w:sz="8" w:space="0"/>
            </w:tcBorders>
            <w:noWrap w:val="0"/>
            <w:tcMar>
              <w:top w:w="0" w:type="dxa"/>
              <w:left w:w="63"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炼油</w:t>
            </w:r>
          </w:p>
        </w:tc>
        <w:tc>
          <w:tcPr>
            <w:tcW w:w="0" w:type="auto"/>
            <w:tcBorders>
              <w:bottom w:val="single" w:color="000000" w:sz="8" w:space="0"/>
              <w:right w:val="single" w:color="000000" w:sz="8" w:space="0"/>
            </w:tcBorders>
            <w:noWrap w:val="0"/>
            <w:tcMar>
              <w:top w:w="0" w:type="dxa"/>
              <w:left w:w="63"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单位能量因数综合</w:t>
            </w:r>
          </w:p>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能耗</w:t>
            </w:r>
          </w:p>
        </w:tc>
        <w:tc>
          <w:tcPr>
            <w:tcW w:w="0" w:type="auto"/>
            <w:tcBorders>
              <w:bottom w:val="single" w:color="000000" w:sz="8" w:space="0"/>
              <w:right w:val="single" w:color="000000" w:sz="8" w:space="0"/>
            </w:tcBorders>
            <w:noWrap w:val="0"/>
            <w:tcMar>
              <w:top w:w="0" w:type="dxa"/>
              <w:left w:w="63"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千克标准油/吨·能</w:t>
            </w:r>
          </w:p>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量因数</w:t>
            </w:r>
          </w:p>
        </w:tc>
        <w:tc>
          <w:tcPr>
            <w:tcW w:w="0" w:type="auto"/>
            <w:tcBorders>
              <w:bottom w:val="single" w:color="000000" w:sz="8" w:space="0"/>
              <w:right w:val="single" w:color="000000" w:sz="8" w:space="0"/>
            </w:tcBorders>
            <w:noWrap w:val="0"/>
            <w:tcMar>
              <w:top w:w="0" w:type="dxa"/>
              <w:left w:w="63"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w:t>
            </w:r>
          </w:p>
        </w:tc>
        <w:tc>
          <w:tcPr>
            <w:tcW w:w="0" w:type="auto"/>
            <w:tcBorders>
              <w:bottom w:val="single" w:color="000000" w:sz="8" w:space="0"/>
              <w:right w:val="single" w:color="000000" w:sz="8" w:space="0"/>
            </w:tcBorders>
            <w:noWrap w:val="0"/>
            <w:tcMar>
              <w:top w:w="0" w:type="dxa"/>
              <w:left w:w="63"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8.5</w:t>
            </w:r>
          </w:p>
        </w:tc>
        <w:tc>
          <w:tcPr>
            <w:tcW w:w="0" w:type="auto"/>
            <w:tcBorders>
              <w:bottom w:val="single" w:color="000000" w:sz="8" w:space="0"/>
              <w:right w:val="single" w:color="000000" w:sz="8" w:space="0"/>
            </w:tcBorders>
            <w:noWrap w:val="0"/>
            <w:tcMar>
              <w:top w:w="0" w:type="dxa"/>
              <w:left w:w="63"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GB30251</w:t>
            </w:r>
          </w:p>
        </w:tc>
      </w:tr>
      <w:tr>
        <w:tblPrEx>
          <w:tblCellMar>
            <w:top w:w="0" w:type="dxa"/>
            <w:left w:w="0" w:type="dxa"/>
            <w:bottom w:w="0" w:type="dxa"/>
            <w:right w:w="0" w:type="dxa"/>
          </w:tblCellMar>
        </w:tblPrEx>
        <w:trPr>
          <w:wBefore w:w="0" w:type="dxa"/>
        </w:trPr>
        <w:tc>
          <w:tcPr>
            <w:tcW w:w="0" w:type="auto"/>
            <w:vMerge w:val="continue"/>
            <w:tcBorders>
              <w:top w:val="single" w:color="666666" w:sz="6" w:space="0"/>
              <w:left w:val="single" w:color="000000" w:sz="8" w:space="0"/>
              <w:right w:val="single" w:color="000000" w:sz="8"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000000" w:sz="8"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restart"/>
            <w:tcBorders>
              <w:right w:val="single" w:color="000000" w:sz="8" w:space="0"/>
            </w:tcBorders>
            <w:shd w:val="clear" w:color="auto" w:fill="F9F9F9"/>
            <w:noWrap w:val="0"/>
            <w:tcMar>
              <w:top w:w="0" w:type="dxa"/>
              <w:left w:w="63"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煤炭加工</w:t>
            </w:r>
          </w:p>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（252）</w:t>
            </w:r>
          </w:p>
        </w:tc>
        <w:tc>
          <w:tcPr>
            <w:tcW w:w="0" w:type="auto"/>
            <w:vMerge w:val="restart"/>
            <w:tcBorders>
              <w:right w:val="single" w:color="000000" w:sz="8" w:space="0"/>
            </w:tcBorders>
            <w:shd w:val="clear" w:color="auto" w:fill="F9F9F9"/>
            <w:noWrap w:val="0"/>
            <w:tcMar>
              <w:top w:w="0" w:type="dxa"/>
              <w:left w:w="63"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炼焦（2521）</w:t>
            </w:r>
          </w:p>
        </w:tc>
        <w:tc>
          <w:tcPr>
            <w:tcW w:w="0" w:type="auto"/>
            <w:vMerge w:val="restart"/>
            <w:tcBorders>
              <w:right w:val="single" w:color="000000" w:sz="8" w:space="0"/>
            </w:tcBorders>
            <w:shd w:val="clear" w:color="auto" w:fill="F9F9F9"/>
            <w:noWrap w:val="0"/>
            <w:tcMar>
              <w:top w:w="0" w:type="dxa"/>
              <w:left w:w="63"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煤制焦炭</w:t>
            </w:r>
          </w:p>
        </w:tc>
        <w:tc>
          <w:tcPr>
            <w:tcW w:w="0" w:type="auto"/>
            <w:tcBorders>
              <w:bottom w:val="single" w:color="000000" w:sz="8" w:space="0"/>
              <w:right w:val="single" w:color="000000" w:sz="8" w:space="0"/>
            </w:tcBorders>
            <w:shd w:val="clear" w:color="auto" w:fill="F9F9F9"/>
            <w:noWrap w:val="0"/>
            <w:tcMar>
              <w:top w:w="0" w:type="dxa"/>
              <w:left w:w="63"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顶装焦炉</w:t>
            </w:r>
          </w:p>
        </w:tc>
        <w:tc>
          <w:tcPr>
            <w:tcW w:w="0" w:type="auto"/>
            <w:vMerge w:val="restart"/>
            <w:tcBorders>
              <w:right w:val="single" w:color="000000" w:sz="8" w:space="0"/>
            </w:tcBorders>
            <w:shd w:val="clear" w:color="auto" w:fill="F9F9F9"/>
            <w:noWrap w:val="0"/>
            <w:tcMar>
              <w:top w:w="0" w:type="dxa"/>
              <w:left w:w="63"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单位产品能耗</w:t>
            </w:r>
          </w:p>
        </w:tc>
        <w:tc>
          <w:tcPr>
            <w:tcW w:w="0" w:type="auto"/>
            <w:vMerge w:val="restart"/>
            <w:tcBorders>
              <w:right w:val="single" w:color="000000" w:sz="8" w:space="0"/>
            </w:tcBorders>
            <w:shd w:val="clear" w:color="auto" w:fill="F9F9F9"/>
            <w:noWrap w:val="0"/>
            <w:tcMar>
              <w:top w:w="0" w:type="dxa"/>
              <w:left w:w="63"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千克标准煤/吨</w:t>
            </w:r>
          </w:p>
        </w:tc>
        <w:tc>
          <w:tcPr>
            <w:tcW w:w="0" w:type="auto"/>
            <w:tcBorders>
              <w:bottom w:val="single" w:color="000000" w:sz="8" w:space="0"/>
              <w:right w:val="single" w:color="000000" w:sz="8" w:space="0"/>
            </w:tcBorders>
            <w:shd w:val="clear" w:color="auto" w:fill="F9F9F9"/>
            <w:noWrap w:val="0"/>
            <w:tcMar>
              <w:top w:w="0" w:type="dxa"/>
              <w:left w:w="63"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110</w:t>
            </w:r>
          </w:p>
        </w:tc>
        <w:tc>
          <w:tcPr>
            <w:tcW w:w="0" w:type="auto"/>
            <w:tcBorders>
              <w:bottom w:val="single" w:color="000000" w:sz="8" w:space="0"/>
              <w:right w:val="single" w:color="000000" w:sz="8" w:space="0"/>
            </w:tcBorders>
            <w:shd w:val="clear" w:color="auto" w:fill="F9F9F9"/>
            <w:noWrap w:val="0"/>
            <w:tcMar>
              <w:top w:w="0" w:type="dxa"/>
              <w:left w:w="63"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135</w:t>
            </w:r>
          </w:p>
        </w:tc>
        <w:tc>
          <w:tcPr>
            <w:tcW w:w="0" w:type="auto"/>
            <w:vMerge w:val="restart"/>
            <w:tcBorders>
              <w:top w:val="single" w:color="000000" w:sz="8" w:space="0"/>
              <w:right w:val="single" w:color="000000" w:sz="8" w:space="0"/>
            </w:tcBorders>
            <w:shd w:val="clear" w:color="auto" w:fill="F9F9F9"/>
            <w:noWrap w:val="0"/>
            <w:tcMar>
              <w:top w:w="0" w:type="dxa"/>
              <w:left w:w="63"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GB21342</w:t>
            </w:r>
          </w:p>
        </w:tc>
      </w:tr>
      <w:tr>
        <w:tblPrEx>
          <w:tblCellMar>
            <w:top w:w="0" w:type="dxa"/>
            <w:left w:w="0" w:type="dxa"/>
            <w:bottom w:w="0" w:type="dxa"/>
            <w:right w:w="0" w:type="dxa"/>
          </w:tblCellMar>
        </w:tblPrEx>
        <w:trPr>
          <w:wBefore w:w="0" w:type="dxa"/>
        </w:trPr>
        <w:tc>
          <w:tcPr>
            <w:tcW w:w="0" w:type="auto"/>
            <w:vMerge w:val="continue"/>
            <w:tcBorders>
              <w:top w:val="single" w:color="666666" w:sz="6" w:space="0"/>
              <w:left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bottom w:val="single" w:color="000000" w:sz="8" w:space="0"/>
              <w:right w:val="single" w:color="000000" w:sz="8" w:space="0"/>
            </w:tcBorders>
            <w:noWrap w:val="0"/>
            <w:tcMar>
              <w:top w:w="0" w:type="dxa"/>
              <w:left w:w="63"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捣固焦炉</w:t>
            </w:r>
          </w:p>
        </w:tc>
        <w:tc>
          <w:tcPr>
            <w:tcW w:w="0" w:type="auto"/>
            <w:vMerge w:val="continue"/>
            <w:tcBorders>
              <w:top w:val="single" w:color="666666" w:sz="6"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bottom w:val="single" w:color="000000" w:sz="8" w:space="0"/>
              <w:right w:val="single" w:color="000000" w:sz="8" w:space="0"/>
            </w:tcBorders>
            <w:noWrap w:val="0"/>
            <w:tcMar>
              <w:top w:w="0" w:type="dxa"/>
              <w:left w:w="63"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110</w:t>
            </w:r>
          </w:p>
        </w:tc>
        <w:tc>
          <w:tcPr>
            <w:tcW w:w="0" w:type="auto"/>
            <w:tcBorders>
              <w:bottom w:val="single" w:color="000000" w:sz="8" w:space="0"/>
              <w:right w:val="single" w:color="000000" w:sz="8" w:space="0"/>
            </w:tcBorders>
            <w:noWrap w:val="0"/>
            <w:tcMar>
              <w:top w:w="0" w:type="dxa"/>
              <w:left w:w="63"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140</w:t>
            </w:r>
          </w:p>
        </w:tc>
        <w:tc>
          <w:tcPr>
            <w:tcW w:w="0" w:type="auto"/>
            <w:vMerge w:val="continue"/>
            <w:tcBorders>
              <w:top w:val="single" w:color="666666" w:sz="6"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vMerge w:val="continue"/>
            <w:tcBorders>
              <w:top w:val="single" w:color="666666" w:sz="6" w:space="0"/>
              <w:left w:val="single" w:color="000000" w:sz="8" w:space="0"/>
              <w:right w:val="single" w:color="000000" w:sz="8"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000000" w:sz="8"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000000" w:sz="8"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restart"/>
            <w:tcBorders>
              <w:right w:val="single" w:color="000000" w:sz="8" w:space="0"/>
            </w:tcBorders>
            <w:shd w:val="clear" w:color="auto" w:fill="F9F9F9"/>
            <w:noWrap w:val="0"/>
            <w:tcMar>
              <w:top w:w="0" w:type="dxa"/>
              <w:left w:w="63"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煤制液体燃料生产</w:t>
            </w:r>
          </w:p>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（2523）</w:t>
            </w:r>
          </w:p>
        </w:tc>
        <w:tc>
          <w:tcPr>
            <w:tcW w:w="0" w:type="auto"/>
            <w:vMerge w:val="restart"/>
            <w:tcBorders>
              <w:right w:val="single" w:color="000000" w:sz="8" w:space="0"/>
            </w:tcBorders>
            <w:shd w:val="clear" w:color="auto" w:fill="F9F9F9"/>
            <w:noWrap w:val="0"/>
            <w:tcMar>
              <w:top w:w="0" w:type="dxa"/>
              <w:left w:w="63"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煤制甲醇</w:t>
            </w:r>
          </w:p>
        </w:tc>
        <w:tc>
          <w:tcPr>
            <w:tcW w:w="0" w:type="auto"/>
            <w:tcBorders>
              <w:bottom w:val="single" w:color="000000" w:sz="8" w:space="0"/>
              <w:right w:val="single" w:color="000000" w:sz="8" w:space="0"/>
            </w:tcBorders>
            <w:shd w:val="clear" w:color="auto" w:fill="F9F9F9"/>
            <w:noWrap w:val="0"/>
            <w:tcMar>
              <w:top w:w="0" w:type="dxa"/>
              <w:left w:w="63"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褐煤</w:t>
            </w:r>
          </w:p>
        </w:tc>
        <w:tc>
          <w:tcPr>
            <w:tcW w:w="0" w:type="auto"/>
            <w:vMerge w:val="restart"/>
            <w:tcBorders>
              <w:right w:val="single" w:color="000000" w:sz="8" w:space="0"/>
            </w:tcBorders>
            <w:shd w:val="clear" w:color="auto" w:fill="F9F9F9"/>
            <w:noWrap w:val="0"/>
            <w:tcMar>
              <w:top w:w="0" w:type="dxa"/>
              <w:left w:w="63"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单位产品综合能耗</w:t>
            </w:r>
          </w:p>
        </w:tc>
        <w:tc>
          <w:tcPr>
            <w:tcW w:w="0" w:type="auto"/>
            <w:vMerge w:val="restart"/>
            <w:tcBorders>
              <w:right w:val="single" w:color="000000" w:sz="8" w:space="0"/>
            </w:tcBorders>
            <w:shd w:val="clear" w:color="auto" w:fill="F9F9F9"/>
            <w:noWrap w:val="0"/>
            <w:tcMar>
              <w:top w:w="0" w:type="dxa"/>
              <w:left w:w="63"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千克标准煤/吨</w:t>
            </w:r>
          </w:p>
        </w:tc>
        <w:tc>
          <w:tcPr>
            <w:tcW w:w="0" w:type="auto"/>
            <w:tcBorders>
              <w:bottom w:val="single" w:color="000000" w:sz="8" w:space="0"/>
              <w:right w:val="single" w:color="000000" w:sz="8" w:space="0"/>
            </w:tcBorders>
            <w:shd w:val="clear" w:color="auto" w:fill="F9F9F9"/>
            <w:noWrap w:val="0"/>
            <w:tcMar>
              <w:top w:w="0" w:type="dxa"/>
              <w:left w:w="63"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1550</w:t>
            </w:r>
          </w:p>
        </w:tc>
        <w:tc>
          <w:tcPr>
            <w:tcW w:w="0" w:type="auto"/>
            <w:tcBorders>
              <w:bottom w:val="single" w:color="000000" w:sz="8" w:space="0"/>
              <w:right w:val="single" w:color="000000" w:sz="8" w:space="0"/>
            </w:tcBorders>
            <w:shd w:val="clear" w:color="auto" w:fill="F9F9F9"/>
            <w:noWrap w:val="0"/>
            <w:tcMar>
              <w:top w:w="0" w:type="dxa"/>
              <w:left w:w="63"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w:t>
            </w:r>
          </w:p>
        </w:tc>
        <w:tc>
          <w:tcPr>
            <w:tcW w:w="0" w:type="auto"/>
            <w:vMerge w:val="restart"/>
            <w:tcBorders>
              <w:right w:val="single" w:color="000000" w:sz="8" w:space="0"/>
            </w:tcBorders>
            <w:shd w:val="clear" w:color="auto" w:fill="F9F9F9"/>
            <w:noWrap w:val="0"/>
            <w:tcMar>
              <w:top w:w="0" w:type="dxa"/>
              <w:left w:w="63"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GB29436</w:t>
            </w:r>
          </w:p>
        </w:tc>
      </w:tr>
      <w:tr>
        <w:tblPrEx>
          <w:tblCellMar>
            <w:top w:w="0" w:type="dxa"/>
            <w:left w:w="0" w:type="dxa"/>
            <w:bottom w:w="0" w:type="dxa"/>
            <w:right w:w="0" w:type="dxa"/>
          </w:tblCellMar>
        </w:tblPrEx>
        <w:trPr>
          <w:wBefore w:w="0" w:type="dxa"/>
        </w:trPr>
        <w:tc>
          <w:tcPr>
            <w:tcW w:w="0" w:type="auto"/>
            <w:vMerge w:val="continue"/>
            <w:tcBorders>
              <w:top w:val="single" w:color="666666" w:sz="6" w:space="0"/>
              <w:left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bottom w:val="single" w:color="000000" w:sz="8" w:space="0"/>
              <w:right w:val="single" w:color="000000" w:sz="8" w:space="0"/>
            </w:tcBorders>
            <w:noWrap w:val="0"/>
            <w:tcMar>
              <w:top w:w="0" w:type="dxa"/>
              <w:left w:w="63"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烟煤</w:t>
            </w:r>
          </w:p>
        </w:tc>
        <w:tc>
          <w:tcPr>
            <w:tcW w:w="0" w:type="auto"/>
            <w:vMerge w:val="continue"/>
            <w:tcBorders>
              <w:top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bottom w:val="single" w:color="000000" w:sz="8" w:space="0"/>
              <w:right w:val="single" w:color="000000" w:sz="8" w:space="0"/>
            </w:tcBorders>
            <w:noWrap w:val="0"/>
            <w:tcMar>
              <w:top w:w="0" w:type="dxa"/>
              <w:left w:w="63"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1400</w:t>
            </w:r>
          </w:p>
        </w:tc>
        <w:tc>
          <w:tcPr>
            <w:tcW w:w="0" w:type="auto"/>
            <w:tcBorders>
              <w:bottom w:val="single" w:color="000000" w:sz="8" w:space="0"/>
              <w:right w:val="single" w:color="000000" w:sz="8" w:space="0"/>
            </w:tcBorders>
            <w:noWrap w:val="0"/>
            <w:tcMar>
              <w:top w:w="0" w:type="dxa"/>
              <w:left w:w="63"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1800</w:t>
            </w:r>
          </w:p>
        </w:tc>
        <w:tc>
          <w:tcPr>
            <w:tcW w:w="0" w:type="auto"/>
            <w:vMerge w:val="continue"/>
            <w:tcBorders>
              <w:top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vMerge w:val="continue"/>
            <w:tcBorders>
              <w:top w:val="single" w:color="666666" w:sz="6" w:space="0"/>
              <w:left w:val="single" w:color="000000" w:sz="8" w:space="0"/>
              <w:right w:val="single" w:color="000000" w:sz="8"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000000" w:sz="8"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000000" w:sz="8"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000000" w:sz="8"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000000" w:sz="8" w:space="0"/>
              <w:right w:val="single" w:color="000000" w:sz="8"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bottom w:val="single" w:color="000000" w:sz="8" w:space="0"/>
              <w:right w:val="single" w:color="000000" w:sz="8" w:space="0"/>
            </w:tcBorders>
            <w:shd w:val="clear" w:color="auto" w:fill="F9F9F9"/>
            <w:noWrap w:val="0"/>
            <w:tcMar>
              <w:top w:w="0" w:type="dxa"/>
              <w:left w:w="63"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无烟煤</w:t>
            </w:r>
          </w:p>
        </w:tc>
        <w:tc>
          <w:tcPr>
            <w:tcW w:w="0" w:type="auto"/>
            <w:vMerge w:val="continue"/>
            <w:tcBorders>
              <w:top w:val="single" w:color="666666" w:sz="6" w:space="0"/>
              <w:bottom w:val="single" w:color="000000" w:sz="8" w:space="0"/>
              <w:right w:val="single" w:color="000000" w:sz="8"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000000" w:sz="8" w:space="0"/>
              <w:right w:val="single" w:color="000000" w:sz="8"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bottom w:val="single" w:color="000000" w:sz="8" w:space="0"/>
              <w:right w:val="single" w:color="000000" w:sz="8" w:space="0"/>
            </w:tcBorders>
            <w:shd w:val="clear" w:color="auto" w:fill="F9F9F9"/>
            <w:noWrap w:val="0"/>
            <w:tcMar>
              <w:top w:w="0" w:type="dxa"/>
              <w:left w:w="63"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1250</w:t>
            </w:r>
          </w:p>
        </w:tc>
        <w:tc>
          <w:tcPr>
            <w:tcW w:w="0" w:type="auto"/>
            <w:tcBorders>
              <w:bottom w:val="single" w:color="000000" w:sz="8" w:space="0"/>
              <w:right w:val="single" w:color="000000" w:sz="8" w:space="0"/>
            </w:tcBorders>
            <w:shd w:val="clear" w:color="auto" w:fill="F9F9F9"/>
            <w:noWrap w:val="0"/>
            <w:tcMar>
              <w:top w:w="0" w:type="dxa"/>
              <w:left w:w="63"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1600</w:t>
            </w:r>
          </w:p>
        </w:tc>
        <w:tc>
          <w:tcPr>
            <w:tcW w:w="0" w:type="auto"/>
            <w:vMerge w:val="continue"/>
            <w:tcBorders>
              <w:top w:val="single" w:color="666666" w:sz="6" w:space="0"/>
              <w:bottom w:val="single" w:color="000000" w:sz="8" w:space="0"/>
              <w:right w:val="single" w:color="000000" w:sz="8" w:space="0"/>
            </w:tcBorders>
            <w:shd w:val="clear" w:color="auto" w:fill="auto"/>
            <w:noWrap w:val="0"/>
            <w:vAlign w:val="center"/>
          </w:tcPr>
          <w:p>
            <w:pPr>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vMerge w:val="continue"/>
            <w:tcBorders>
              <w:top w:val="single" w:color="666666" w:sz="6" w:space="0"/>
              <w:left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bottom w:val="single" w:color="000000" w:sz="8" w:space="0"/>
              <w:right w:val="single" w:color="000000" w:sz="8" w:space="0"/>
            </w:tcBorders>
            <w:noWrap w:val="0"/>
            <w:tcMar>
              <w:top w:w="0" w:type="dxa"/>
              <w:left w:w="63"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煤制烯烃</w:t>
            </w:r>
          </w:p>
        </w:tc>
        <w:tc>
          <w:tcPr>
            <w:tcW w:w="0" w:type="auto"/>
            <w:tcBorders>
              <w:bottom w:val="single" w:color="000000" w:sz="8" w:space="0"/>
              <w:right w:val="single" w:color="000000" w:sz="8" w:space="0"/>
            </w:tcBorders>
            <w:noWrap w:val="0"/>
            <w:tcMar>
              <w:top w:w="0" w:type="dxa"/>
              <w:left w:w="63"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乙烯和丙烯</w:t>
            </w:r>
          </w:p>
        </w:tc>
        <w:tc>
          <w:tcPr>
            <w:tcW w:w="0" w:type="auto"/>
            <w:tcBorders>
              <w:bottom w:val="single" w:color="000000" w:sz="8" w:space="0"/>
              <w:right w:val="single" w:color="000000" w:sz="8" w:space="0"/>
            </w:tcBorders>
            <w:noWrap w:val="0"/>
            <w:tcMar>
              <w:top w:w="0" w:type="dxa"/>
              <w:left w:w="63"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单位产品</w:t>
            </w:r>
          </w:p>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能耗</w:t>
            </w:r>
          </w:p>
        </w:tc>
        <w:tc>
          <w:tcPr>
            <w:tcW w:w="0" w:type="auto"/>
            <w:tcBorders>
              <w:bottom w:val="single" w:color="000000" w:sz="8" w:space="0"/>
              <w:right w:val="single" w:color="000000" w:sz="8" w:space="0"/>
            </w:tcBorders>
            <w:noWrap w:val="0"/>
            <w:tcMar>
              <w:top w:w="0" w:type="dxa"/>
              <w:left w:w="63"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w:t>
            </w:r>
          </w:p>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煤/吨</w:t>
            </w:r>
          </w:p>
        </w:tc>
        <w:tc>
          <w:tcPr>
            <w:tcW w:w="0" w:type="auto"/>
            <w:tcBorders>
              <w:bottom w:val="single" w:color="000000" w:sz="8" w:space="0"/>
              <w:right w:val="single" w:color="000000" w:sz="8" w:space="0"/>
            </w:tcBorders>
            <w:noWrap w:val="0"/>
            <w:tcMar>
              <w:top w:w="0" w:type="dxa"/>
              <w:left w:w="63"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2800</w:t>
            </w:r>
          </w:p>
        </w:tc>
        <w:tc>
          <w:tcPr>
            <w:tcW w:w="0" w:type="auto"/>
            <w:tcBorders>
              <w:bottom w:val="single" w:color="000000" w:sz="8" w:space="0"/>
              <w:right w:val="single" w:color="000000" w:sz="8" w:space="0"/>
            </w:tcBorders>
            <w:noWrap w:val="0"/>
            <w:tcMar>
              <w:top w:w="0" w:type="dxa"/>
              <w:left w:w="63"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3300</w:t>
            </w:r>
          </w:p>
        </w:tc>
        <w:tc>
          <w:tcPr>
            <w:tcW w:w="0" w:type="auto"/>
            <w:tcBorders>
              <w:bottom w:val="single" w:color="000000" w:sz="8" w:space="0"/>
              <w:right w:val="single" w:color="000000" w:sz="8" w:space="0"/>
            </w:tcBorders>
            <w:noWrap w:val="0"/>
            <w:tcMar>
              <w:top w:w="0" w:type="dxa"/>
              <w:left w:w="63"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GB30180</w:t>
            </w:r>
          </w:p>
        </w:tc>
      </w:tr>
      <w:tr>
        <w:tblPrEx>
          <w:tblCellMar>
            <w:top w:w="0" w:type="dxa"/>
            <w:left w:w="0" w:type="dxa"/>
            <w:bottom w:w="0" w:type="dxa"/>
            <w:right w:w="0" w:type="dxa"/>
          </w:tblCellMar>
        </w:tblPrEx>
        <w:trPr>
          <w:wBefore w:w="0" w:type="dxa"/>
        </w:trPr>
        <w:tc>
          <w:tcPr>
            <w:tcW w:w="0" w:type="auto"/>
            <w:vMerge w:val="continue"/>
            <w:tcBorders>
              <w:top w:val="single" w:color="666666" w:sz="6" w:space="0"/>
              <w:left w:val="single" w:color="000000" w:sz="8" w:space="0"/>
              <w:bottom w:val="single" w:color="000000" w:sz="8" w:space="0"/>
              <w:right w:val="single" w:color="000000" w:sz="8"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000000" w:sz="8" w:space="0"/>
              <w:right w:val="single" w:color="000000" w:sz="8"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000000" w:sz="8" w:space="0"/>
              <w:right w:val="single" w:color="000000" w:sz="8"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000000" w:sz="8" w:space="0"/>
              <w:right w:val="single" w:color="000000" w:sz="8"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bottom w:val="single" w:color="000000" w:sz="8" w:space="0"/>
              <w:right w:val="single" w:color="000000" w:sz="8" w:space="0"/>
            </w:tcBorders>
            <w:shd w:val="clear" w:color="auto" w:fill="F9F9F9"/>
            <w:noWrap w:val="0"/>
            <w:tcMar>
              <w:top w:w="0" w:type="dxa"/>
              <w:left w:w="63"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煤制乙二醇</w:t>
            </w:r>
          </w:p>
        </w:tc>
        <w:tc>
          <w:tcPr>
            <w:tcW w:w="0" w:type="auto"/>
            <w:tcBorders>
              <w:bottom w:val="single" w:color="000000" w:sz="8" w:space="0"/>
              <w:right w:val="single" w:color="000000" w:sz="8" w:space="0"/>
            </w:tcBorders>
            <w:shd w:val="clear" w:color="auto" w:fill="F9F9F9"/>
            <w:noWrap w:val="0"/>
            <w:tcMar>
              <w:top w:w="0" w:type="dxa"/>
              <w:left w:w="63"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合成气法</w:t>
            </w:r>
          </w:p>
        </w:tc>
        <w:tc>
          <w:tcPr>
            <w:tcW w:w="0" w:type="auto"/>
            <w:tcBorders>
              <w:bottom w:val="single" w:color="000000" w:sz="8" w:space="0"/>
              <w:right w:val="single" w:color="000000" w:sz="8" w:space="0"/>
            </w:tcBorders>
            <w:shd w:val="clear" w:color="auto" w:fill="F9F9F9"/>
            <w:noWrap w:val="0"/>
            <w:tcMar>
              <w:top w:w="0" w:type="dxa"/>
              <w:left w:w="63"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单位产品</w:t>
            </w:r>
          </w:p>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综合能耗</w:t>
            </w:r>
          </w:p>
        </w:tc>
        <w:tc>
          <w:tcPr>
            <w:tcW w:w="0" w:type="auto"/>
            <w:tcBorders>
              <w:bottom w:val="single" w:color="000000" w:sz="8" w:space="0"/>
              <w:right w:val="single" w:color="000000" w:sz="8" w:space="0"/>
            </w:tcBorders>
            <w:shd w:val="clear" w:color="auto" w:fill="F9F9F9"/>
            <w:noWrap w:val="0"/>
            <w:tcMar>
              <w:top w:w="0" w:type="dxa"/>
              <w:left w:w="63"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w:t>
            </w:r>
          </w:p>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煤/吨</w:t>
            </w:r>
          </w:p>
        </w:tc>
        <w:tc>
          <w:tcPr>
            <w:tcW w:w="0" w:type="auto"/>
            <w:tcBorders>
              <w:bottom w:val="single" w:color="000000" w:sz="8" w:space="0"/>
              <w:right w:val="single" w:color="000000" w:sz="8" w:space="0"/>
            </w:tcBorders>
            <w:shd w:val="clear" w:color="auto" w:fill="F9F9F9"/>
            <w:noWrap w:val="0"/>
            <w:tcMar>
              <w:top w:w="0" w:type="dxa"/>
              <w:left w:w="63"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1000</w:t>
            </w:r>
          </w:p>
        </w:tc>
        <w:tc>
          <w:tcPr>
            <w:tcW w:w="0" w:type="auto"/>
            <w:tcBorders>
              <w:bottom w:val="single" w:color="000000" w:sz="8" w:space="0"/>
              <w:right w:val="single" w:color="000000" w:sz="8" w:space="0"/>
            </w:tcBorders>
            <w:shd w:val="clear" w:color="auto" w:fill="F9F9F9"/>
            <w:noWrap w:val="0"/>
            <w:tcMar>
              <w:top w:w="0" w:type="dxa"/>
              <w:left w:w="63"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1350</w:t>
            </w:r>
          </w:p>
        </w:tc>
        <w:tc>
          <w:tcPr>
            <w:tcW w:w="0" w:type="auto"/>
            <w:tcBorders>
              <w:bottom w:val="single" w:color="000000" w:sz="8" w:space="0"/>
              <w:right w:val="single" w:color="000000" w:sz="8" w:space="0"/>
            </w:tcBorders>
            <w:shd w:val="clear" w:color="auto" w:fill="F9F9F9"/>
            <w:noWrap w:val="0"/>
            <w:tcMar>
              <w:top w:w="0" w:type="dxa"/>
              <w:left w:w="63"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GB32048</w:t>
            </w:r>
          </w:p>
        </w:tc>
      </w:tr>
      <w:tr>
        <w:tblPrEx>
          <w:tblCellMar>
            <w:top w:w="0" w:type="dxa"/>
            <w:left w:w="0" w:type="dxa"/>
            <w:bottom w:w="0" w:type="dxa"/>
            <w:right w:w="0" w:type="dxa"/>
          </w:tblCellMar>
        </w:tblPrEx>
        <w:trPr>
          <w:wBefore w:w="0" w:type="dxa"/>
        </w:trPr>
        <w:tc>
          <w:tcPr>
            <w:tcW w:w="0" w:type="auto"/>
            <w:tcBorders>
              <w:left w:val="single" w:color="000000" w:sz="8" w:space="0"/>
              <w:bottom w:val="single" w:color="000000" w:sz="8" w:space="0"/>
              <w:right w:val="single" w:color="000000" w:sz="8" w:space="0"/>
            </w:tcBorders>
            <w:noWrap w:val="0"/>
            <w:tcMar>
              <w:top w:w="0" w:type="dxa"/>
              <w:left w:w="68"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bottom w:val="single" w:color="000000" w:sz="8" w:space="0"/>
              <w:right w:val="single" w:color="000000" w:sz="8" w:space="0"/>
            </w:tcBorders>
            <w:noWrap w:val="0"/>
            <w:tcMar>
              <w:top w:w="0" w:type="dxa"/>
              <w:left w:w="63"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化学原料和化学制品制造业</w:t>
            </w:r>
          </w:p>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w:t>
            </w:r>
          </w:p>
        </w:tc>
        <w:tc>
          <w:tcPr>
            <w:tcW w:w="0" w:type="auto"/>
            <w:tcBorders>
              <w:bottom w:val="single" w:color="000000" w:sz="8" w:space="0"/>
              <w:right w:val="single" w:color="000000" w:sz="8" w:space="0"/>
            </w:tcBorders>
            <w:noWrap w:val="0"/>
            <w:tcMar>
              <w:top w:w="0" w:type="dxa"/>
              <w:left w:w="63"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基础化学原料制造</w:t>
            </w:r>
          </w:p>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（261）</w:t>
            </w:r>
          </w:p>
        </w:tc>
        <w:tc>
          <w:tcPr>
            <w:tcW w:w="0" w:type="auto"/>
            <w:tcBorders>
              <w:bottom w:val="single" w:color="000000" w:sz="8" w:space="0"/>
              <w:right w:val="single" w:color="000000" w:sz="8" w:space="0"/>
            </w:tcBorders>
            <w:noWrap w:val="0"/>
            <w:tcMar>
              <w:top w:w="0" w:type="dxa"/>
              <w:left w:w="63"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无机碱制造</w:t>
            </w:r>
          </w:p>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（2612）</w:t>
            </w:r>
          </w:p>
        </w:tc>
        <w:tc>
          <w:tcPr>
            <w:tcW w:w="0" w:type="auto"/>
            <w:tcBorders>
              <w:bottom w:val="single" w:color="000000" w:sz="8" w:space="0"/>
              <w:right w:val="single" w:color="000000" w:sz="8" w:space="0"/>
            </w:tcBorders>
            <w:noWrap w:val="0"/>
            <w:tcMar>
              <w:top w:w="0" w:type="dxa"/>
              <w:left w:w="63"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烧碱</w:t>
            </w:r>
          </w:p>
        </w:tc>
        <w:tc>
          <w:tcPr>
            <w:tcW w:w="0" w:type="auto"/>
            <w:tcBorders>
              <w:bottom w:val="single" w:color="000000" w:sz="8" w:space="0"/>
              <w:right w:val="single" w:color="000000" w:sz="8" w:space="0"/>
            </w:tcBorders>
            <w:noWrap w:val="0"/>
            <w:tcMar>
              <w:top w:w="0" w:type="dxa"/>
              <w:left w:w="63"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离子膜法液碱</w:t>
            </w:r>
          </w:p>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（质量分数，下同）≥30%</w:t>
            </w:r>
          </w:p>
        </w:tc>
        <w:tc>
          <w:tcPr>
            <w:tcW w:w="0" w:type="auto"/>
            <w:tcBorders>
              <w:bottom w:val="single" w:color="000000" w:sz="8" w:space="0"/>
              <w:right w:val="single" w:color="000000" w:sz="8" w:space="0"/>
            </w:tcBorders>
            <w:noWrap w:val="0"/>
            <w:tcMar>
              <w:top w:w="0" w:type="dxa"/>
              <w:left w:w="63"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单位产品综合能耗</w:t>
            </w:r>
          </w:p>
        </w:tc>
        <w:tc>
          <w:tcPr>
            <w:tcW w:w="0" w:type="auto"/>
            <w:tcBorders>
              <w:bottom w:val="single" w:color="000000" w:sz="8" w:space="0"/>
              <w:right w:val="single" w:color="000000" w:sz="8" w:space="0"/>
            </w:tcBorders>
            <w:noWrap w:val="0"/>
            <w:tcMar>
              <w:top w:w="0" w:type="dxa"/>
              <w:left w:w="63"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千克标准煤/吨</w:t>
            </w:r>
          </w:p>
        </w:tc>
        <w:tc>
          <w:tcPr>
            <w:tcW w:w="0" w:type="auto"/>
            <w:tcBorders>
              <w:bottom w:val="single" w:color="000000" w:sz="8" w:space="0"/>
              <w:right w:val="single" w:color="000000" w:sz="8" w:space="0"/>
            </w:tcBorders>
            <w:noWrap w:val="0"/>
            <w:tcMar>
              <w:top w:w="0" w:type="dxa"/>
              <w:left w:w="63"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315</w:t>
            </w:r>
          </w:p>
        </w:tc>
        <w:tc>
          <w:tcPr>
            <w:tcW w:w="0" w:type="auto"/>
            <w:tcBorders>
              <w:bottom w:val="single" w:color="000000" w:sz="8" w:space="0"/>
              <w:right w:val="single" w:color="000000" w:sz="8" w:space="0"/>
            </w:tcBorders>
            <w:noWrap w:val="0"/>
            <w:tcMar>
              <w:top w:w="0" w:type="dxa"/>
              <w:left w:w="63"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350</w:t>
            </w:r>
          </w:p>
        </w:tc>
        <w:tc>
          <w:tcPr>
            <w:tcW w:w="0" w:type="auto"/>
            <w:tcBorders>
              <w:bottom w:val="single" w:color="000000" w:sz="8" w:space="0"/>
              <w:right w:val="single" w:color="000000" w:sz="8" w:space="0"/>
            </w:tcBorders>
            <w:noWrap w:val="0"/>
            <w:tcMar>
              <w:top w:w="0" w:type="dxa"/>
              <w:left w:w="63"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GB21257</w:t>
            </w: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注：1．各领域标杆水平和基准水平主要参考国家现行单位产品能耗限额标准的先进值和准入值、限定值，根据行业实际、发展预期、生产装置整体能效水平等确定。统计范围、计算方法等参考相应标准。</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2．表中的高耗能行业重点领域范围和标杆水平、基准水平，视行业发展和国家现行单位产品能耗限额标准制修订情况进行补充完善和动态调整。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"https://www.pkulaw.com/lar/1528ec84db87c317b4aa9b376047b4edbdfb.html"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https://www.pkulaw.com/lar/1528ec84db87c317b4aa9b376047b4edbdfb.html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【法宝引证码】CLI.14.4910342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FA8088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2023-01-28T16:52:02Z</dcterms:created>
  <dc:creator>xmintie.</dc:creator>
  <cp:lastModifiedBy>xmintie.</cp:lastModifiedBy>
  <dcterms:modified xsi:type="dcterms:W3CDTF">2023-01-28T16:52:02Z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311170AC123F4B97B9BB3D9C3FC20B42</vt:lpwstr>
  </property>
</Properties>
</file>