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重庆市发展和改革委员会关于下达重庆市2013年度碳排放配额的通知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重庆市发展和改革委员会关于下达重庆市2013年度碳排放配额的通知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渝发改环[2014]548号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各配额管理单位：　</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为做好我市碳排放管理和交易工作，根据《重庆市碳排放权交易管理暂行办法》和《重庆市碳排放配额管理细则（试行）》，结合各配额管理单位2013年度碳排放申报情况，现将2013年度碳排放配额下达给你们，请严格执行。同时，请你们尽快到重庆联合产权交易所集团股份有限公司开设登记簿账户和交易账户，便于配额发放登记和交易。</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重庆市发展和改革委员会</w:t>
      </w:r>
    </w:p>
    <w:p>
      <w:pPr>
        <w:spacing w:line="600" w:lineRule="atLeast"/>
        <w:ind w:left="375" w:right="375"/>
        <w:rPr>
          <w:rFonts w:ascii="宋体" w:hAnsi="宋体" w:eastAsia="宋体" w:cs="宋体"/>
          <w:color w:val="000000"/>
          <w:sz w:val="27"/>
          <w:szCs w:val="27"/>
          <w:lang/>
        </w:rPr>
      </w:pP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2014年5月28日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 xml:space="preserve">　　附件： </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重庆市2013年度碳排放配额分配方案 </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单位：吨二氧化碳当量 </w:t>
      </w:r>
    </w:p>
    <w:tbl>
      <w:tblPr>
        <w:tblStyle w:val="13"/>
        <w:tblW w:w="5000" w:type="pct"/>
        <w:tblInd w:w="485" w:type="dxa"/>
        <w:tblLayout w:type="autofit"/>
        <w:tblCellMar>
          <w:top w:w="0" w:type="dxa"/>
          <w:left w:w="0" w:type="dxa"/>
          <w:bottom w:w="0" w:type="dxa"/>
          <w:right w:w="0" w:type="dxa"/>
        </w:tblCellMar>
      </w:tblPr>
      <w:tblGrid>
        <w:gridCol w:w="7088"/>
        <w:gridCol w:w="3598"/>
      </w:tblGrid>
      <w:tr>
        <w:tblPrEx>
          <w:tblCellMar>
            <w:top w:w="0" w:type="dxa"/>
            <w:left w:w="0" w:type="dxa"/>
            <w:bottom w:w="0" w:type="dxa"/>
            <w:right w:w="0" w:type="dxa"/>
          </w:tblCellMar>
        </w:tblPrEx>
        <w:trPr>
          <w:wBefore w:w="0" w:type="dxa"/>
          <w:trHeight w:val="345" w:hRule="atLeast"/>
        </w:trPr>
        <w:tc>
          <w:tcPr>
            <w:tcW w:w="7900" w:type="dxa"/>
            <w:noWrap w:val="0"/>
            <w:tcMar>
              <w:top w:w="0" w:type="dxa"/>
              <w:left w:w="110" w:type="dxa"/>
              <w:bottom w:w="0" w:type="dxa"/>
              <w:right w:w="110" w:type="dxa"/>
            </w:tcMar>
            <w:vAlign w:val="center"/>
          </w:tcPr>
          <w:p>
            <w:pPr>
              <w:pStyle w:val="11"/>
              <w:pBdr>
                <w:top w:val="none" w:color="auto" w:sz="0" w:space="0"/>
                <w:left w:val="none" w:color="auto" w:sz="0" w:space="0"/>
                <w:bottom w:val="none" w:color="auto" w:sz="0" w:space="0"/>
                <w:right w:val="none" w:color="auto" w:sz="0" w:space="0"/>
              </w:pBdr>
              <w:spacing w:before="0" w:after="0" w:line="240" w:lineRule="atLeast"/>
              <w:ind w:left="0" w:right="0" w:firstLine="0"/>
              <w:jc w:val="center"/>
              <w:textAlignment w:val="baseline"/>
              <w:rPr>
                <w:rFonts w:ascii="宋体" w:hAnsi="宋体" w:eastAsia="宋体" w:cs="宋体"/>
                <w:b w:val="0"/>
                <w:bCs w:val="0"/>
                <w:color w:val="000000"/>
                <w:sz w:val="27"/>
                <w:szCs w:val="27"/>
                <w:lang/>
              </w:rPr>
            </w:pPr>
            <w:r>
              <w:rPr>
                <w:rStyle w:val="12"/>
                <w:rFonts w:ascii="方正黑体_GBK" w:hAnsi="方正黑体_GBK" w:eastAsia="方正黑体_GBK" w:cs="方正黑体_GBK"/>
                <w:b w:val="0"/>
                <w:bCs w:val="0"/>
                <w:color w:val="000000"/>
                <w:sz w:val="24"/>
                <w:szCs w:val="24"/>
                <w:vertAlign w:val="baseline"/>
                <w:lang/>
              </w:rPr>
              <w:t>单位名称</w:t>
            </w:r>
          </w:p>
        </w:tc>
        <w:tc>
          <w:tcPr>
            <w:tcW w:w="3895" w:type="dxa"/>
            <w:noWrap w:val="0"/>
            <w:tcMar>
              <w:top w:w="0" w:type="dxa"/>
              <w:left w:w="110" w:type="dxa"/>
              <w:bottom w:w="0" w:type="dxa"/>
              <w:right w:w="110" w:type="dxa"/>
            </w:tcMar>
            <w:vAlign w:val="center"/>
          </w:tcPr>
          <w:p>
            <w:pPr>
              <w:pStyle w:val="11"/>
              <w:pBdr>
                <w:top w:val="none" w:color="auto" w:sz="0" w:space="0"/>
                <w:left w:val="none" w:color="auto" w:sz="0" w:space="0"/>
                <w:bottom w:val="none" w:color="auto" w:sz="0" w:space="0"/>
                <w:right w:val="none" w:color="auto" w:sz="0" w:space="0"/>
              </w:pBdr>
              <w:spacing w:before="0" w:after="0" w:line="240" w:lineRule="atLeast"/>
              <w:ind w:left="0" w:right="0" w:firstLine="0"/>
              <w:jc w:val="center"/>
              <w:textAlignment w:val="baseline"/>
              <w:rPr>
                <w:rFonts w:ascii="宋体" w:hAnsi="宋体" w:eastAsia="宋体" w:cs="宋体"/>
                <w:b w:val="0"/>
                <w:bCs w:val="0"/>
                <w:color w:val="000000"/>
                <w:sz w:val="27"/>
                <w:szCs w:val="27"/>
                <w:lang/>
              </w:rPr>
            </w:pPr>
            <w:r>
              <w:rPr>
                <w:rStyle w:val="12"/>
                <w:rFonts w:ascii="方正黑体_GBK" w:hAnsi="方正黑体_GBK" w:eastAsia="方正黑体_GBK" w:cs="方正黑体_GBK"/>
                <w:b w:val="0"/>
                <w:bCs w:val="0"/>
                <w:color w:val="000000"/>
                <w:sz w:val="24"/>
                <w:szCs w:val="24"/>
                <w:vertAlign w:val="baseline"/>
                <w:lang/>
              </w:rPr>
              <w:t>2013年度配额</w:t>
            </w:r>
          </w:p>
        </w:tc>
      </w:tr>
      <w:tr>
        <w:tblPrEx>
          <w:tblCellMar>
            <w:top w:w="0" w:type="dxa"/>
            <w:left w:w="0" w:type="dxa"/>
            <w:bottom w:w="0" w:type="dxa"/>
            <w:right w:w="0" w:type="dxa"/>
          </w:tblCellMar>
        </w:tblPrEx>
        <w:trPr>
          <w:wBefore w:w="0" w:type="dxa"/>
          <w:trHeight w:val="345" w:hRule="atLeast"/>
        </w:trPr>
        <w:tc>
          <w:tcPr>
            <w:tcW w:w="7900" w:type="dxa"/>
            <w:noWrap w:val="0"/>
            <w:tcMar>
              <w:top w:w="0" w:type="dxa"/>
              <w:left w:w="110" w:type="dxa"/>
              <w:bottom w:w="0" w:type="dxa"/>
              <w:right w:w="110" w:type="dxa"/>
            </w:tcMar>
            <w:vAlign w:val="center"/>
          </w:tcPr>
          <w:p>
            <w:pPr>
              <w:pStyle w:val="11"/>
              <w:pBdr>
                <w:top w:val="none" w:color="auto" w:sz="0" w:space="0"/>
                <w:left w:val="none" w:color="auto" w:sz="0" w:space="0"/>
                <w:bottom w:val="none" w:color="auto" w:sz="0" w:space="0"/>
                <w:right w:val="none" w:color="auto" w:sz="0" w:space="0"/>
              </w:pBdr>
              <w:spacing w:before="0" w:after="0" w:line="240" w:lineRule="atLeast"/>
              <w:ind w:left="0" w:right="0" w:firstLine="0"/>
              <w:jc w:val="center"/>
              <w:textAlignment w:val="baseline"/>
              <w:rPr>
                <w:rFonts w:ascii="宋体" w:hAnsi="宋体" w:eastAsia="宋体" w:cs="宋体"/>
                <w:b w:val="0"/>
                <w:bCs w:val="0"/>
                <w:color w:val="000000"/>
                <w:sz w:val="27"/>
                <w:szCs w:val="27"/>
                <w:lang/>
              </w:rPr>
            </w:pPr>
            <w:r>
              <w:rPr>
                <w:rStyle w:val="12"/>
                <w:rFonts w:ascii="宋体" w:hAnsi="宋体" w:eastAsia="宋体" w:cs="宋体"/>
                <w:b w:val="0"/>
                <w:bCs w:val="0"/>
                <w:color w:val="000000"/>
                <w:sz w:val="24"/>
                <w:szCs w:val="24"/>
                <w:vertAlign w:val="baseline"/>
                <w:lang/>
              </w:rPr>
              <w:t>合 计（242家）</w:t>
            </w:r>
          </w:p>
        </w:tc>
        <w:tc>
          <w:tcPr>
            <w:tcW w:w="3895" w:type="dxa"/>
            <w:noWrap w:val="0"/>
            <w:tcMar>
              <w:top w:w="0" w:type="dxa"/>
              <w:left w:w="110" w:type="dxa"/>
              <w:bottom w:w="0" w:type="dxa"/>
              <w:right w:w="110"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2"/>
                <w:rFonts w:ascii="宋体" w:hAnsi="宋体" w:eastAsia="宋体" w:cs="宋体"/>
                <w:b w:val="0"/>
                <w:bCs w:val="0"/>
                <w:color w:val="000000"/>
                <w:sz w:val="24"/>
                <w:szCs w:val="24"/>
                <w:vertAlign w:val="baseline"/>
                <w:lang/>
              </w:rPr>
              <w:t>125197019</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"https://www.pkulaw.com/lar/00591718f07a3808b3df540380c80c24bdfb.html"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https://www.pkulaw.com/lar/00591718f07a3808b3df540380c80c24bdfb.html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方正黑体_GBK">
    <w:altName w:val="微软雅黑"/>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【法宝引证码】CLI.12.1369919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7AF26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character" w:customStyle="1" w:styleId="12">
    <w:name w:val="span"/>
    <w:basedOn w:val="4"/>
    <w:uiPriority w:val="0"/>
    <w:rPr>
      <w:sz w:val="24"/>
      <w:szCs w:val="24"/>
      <w:vertAlign w:val="baseline"/>
    </w:r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2023-01-28T16:52:11Z</dcterms:created>
  <dc:creator>xmintie.</dc:creator>
  <cp:lastModifiedBy>xmintie.</cp:lastModifiedBy>
  <dcterms:modified xsi:type="dcterms:W3CDTF">2023-01-28T16:52:11Z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F6CFDEA7BD6143518D8E5B1F686023E9</vt:lpwstr>
  </property>
</Properties>
</file>