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重庆市城乡建设委员会关于召开2010年全市建筑节能与低碳绿色建筑工作会的通知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重庆市城乡建设委员会关于召开2010年全市建筑节能与低碳绿色建筑工作会的通知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br w:type="textWrapping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渝建[2010]164号</w:t>
      </w:r>
    </w:p>
    <w:p>
      <w:pPr>
        <w:pStyle w:val="1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after="0"/>
        <w:ind w:left="375" w:right="375"/>
        <w:textAlignment w:val="baseline"/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</w:pPr>
      <w:r>
        <w:rPr>
          <w:rFonts w:ascii="宋体" w:hAnsi="宋体" w:eastAsia="宋体" w:cs="宋体"/>
          <w:b/>
          <w:bCs/>
          <w:color w:val="218FC4"/>
          <w:sz w:val="21"/>
          <w:szCs w:val="21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各区县（自治县）城乡建委，北部新区建设管理局，有关单位：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　　为深入贯彻落实《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instrText xml:space="preserve"> HYPERLINK "https://www.pkulaw.com/chl/8147dcba5aaa6026bdfb.html?way=textSlc" </w:instrTex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separate"/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t>民用建筑节能条例</w:t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fldChar w:fldCharType="end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>》、《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begin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instrText xml:space="preserve"> HYPERLINK "https://www.pkulaw.com/lar/730e1352db8b3b08df189a453977ab90bdfb.html?way=textSlc" </w:instrTex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fldChar w:fldCharType="separate"/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t>重庆市建筑节能条例</w:t>
      </w:r>
      <w:r>
        <w:rPr>
          <w:rStyle w:val="11"/>
          <w:rFonts w:ascii="宋体" w:hAnsi="宋体" w:eastAsia="宋体" w:cs="宋体"/>
          <w:b w:val="0"/>
          <w:bCs w:val="0"/>
          <w:sz w:val="27"/>
          <w:szCs w:val="27"/>
          <w:vertAlign w:val="baseline"/>
          <w:lang/>
        </w:rPr>
        <w:fldChar w:fldCharType="end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》和全市规划建设管理及民防工作会精神，研究布置新形势下的建筑节能与低碳绿色建筑发展工作，推进“宜居重庆”建设，经研究，决定召开全市建筑节能与低碳绿色建筑工作会。现将有关事项通知如下： 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一、会议时间 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2010年4月29日上午9:30，会期半天。 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二、会议地点 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渝州宾馆新俱乐部（地址：渝中区渝州路168号）。 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三、参会人员 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（一）各区县（自治县）城乡建委、北部新区建设管理局建筑节能分管领导和部门负责人；市城乡建委各处室负责人和直属单位负责人； 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（二）甲级勘察设计、监理，特级、一级施工企业，一级开发企业负责人，部分施工图审查机构和建筑节能材料生产企业负责人； 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（三）市城投公司、市地产集团、江北嘴开发公司、重庆保税区开发管理有限公司、市轨道交通集团公司负责人； 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（四）相关学会、协会负责人。 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邀请市领导及住房和城乡建设部有关领导出席会议。邀请市人大城环委、市人大法工委、市政协城环委、市政府法制办、市发改委、市财政局、市科委、市经信委、市规划局、市国土房管局、市市政委、市环保局、市园林局、市机关事务局、市教委、重庆大学等单位的领导和部门负责人、行业专家代表及市内主要媒体记者参会。 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四、报到时间地点 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4月28日下午14:00－22:00在渝州宾馆迎宾楼大厅报到。 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4月29日上午8:00－9:30在渝州宾馆新俱乐部前厅报到。 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需住宿的同志可住渝州宾馆，总台电话：63552131。 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请参会单位于4月22日前将参会回执（见附件）传真至市建筑节能中心。 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五、联系方式 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（一）市城乡建委 张 军 何 丹 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联系电话：63672728 63672578 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（二）市建筑节能中心 熊昌荣 鄢和荣 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联系电话：63612456 63621184（传真） </w:t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br w:type="textWrapping"/>
      </w:r>
      <w:r>
        <w:rPr>
          <w:rFonts w:ascii="宋体" w:hAnsi="宋体" w:eastAsia="宋体" w:cs="宋体"/>
          <w:b w:val="0"/>
          <w:bCs w:val="0"/>
          <w:color w:val="000000"/>
          <w:sz w:val="27"/>
          <w:szCs w:val="27"/>
          <w:lang/>
        </w:rPr>
        <w:t xml:space="preserve">　　附件：2010年全市建筑节能与低碳绿色建筑工作会参会回执 </w:t>
      </w:r>
    </w:p>
    <w:p>
      <w:pPr>
        <w:pStyle w:val="9"/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二○一○年四月二十一日</w:t>
      </w:r>
    </w:p>
    <w:p>
      <w:pPr>
        <w:pStyle w:val="9"/>
        <w:spacing w:before="0" w:after="300" w:line="24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begin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instrText xml:space="preserve"> HYPERLINK "https://resources.pkulaw.cn/upload/doc/6360549478570587508084701.doc" \t "_blank" </w:instrTex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separate"/>
      </w:r>
      <w:r>
        <w:rPr>
          <w:rStyle w:val="11"/>
          <w:rFonts w:ascii="宋体" w:hAnsi="宋体" w:eastAsia="宋体" w:cs="宋体"/>
          <w:sz w:val="27"/>
          <w:szCs w:val="27"/>
          <w:lang/>
        </w:rPr>
        <w:t>附件：2010年全市建筑节能与低碳绿色建筑工作会参会回执</w:t>
      </w:r>
      <w:r>
        <w:rPr>
          <w:rStyle w:val="11"/>
          <w:rFonts w:ascii="宋体" w:hAnsi="宋体" w:eastAsia="宋体" w:cs="宋体"/>
          <w:sz w:val="27"/>
          <w:szCs w:val="27"/>
          <w:lang/>
        </w:rPr>
        <w:fldChar w:fldCharType="end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"https://www.pkulaw.com/lar/889a477f73d4fc7d3ab3515e95fa035cbdfb.html"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https://www.pkulaw.com/lar/889a477f73d4fc7d3ab3515e95fa035cbdfb.html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【法宝引证码】CLI.12.1384057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50D849A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2023-01-28T16:54:15Z</dcterms:created>
  <dc:creator>xmintie.</dc:creator>
  <cp:lastModifiedBy>xmintie.</cp:lastModifiedBy>
  <dcterms:modified xsi:type="dcterms:W3CDTF">2023-01-28T16:54:15Z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F9795212FF3D4981BC65177F4F48F753</vt:lpwstr>
  </property>
</Properties>
</file>