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mmdciox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 010 | Greenline Wind Phase I – Refinance Term Sheet (Archetype 2 – Table-Dominant)</w:t>
      </w:r>
    </w:p>
    <w:tbl>
      <w:tblPr>
        <w:tblStyle w:val="Table1"/>
        <w:tblW w:w="6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"/>
        <w:gridCol w:w="1370"/>
        <w:gridCol w:w="3005"/>
        <w:tblGridChange w:id="0">
          <w:tblGrid>
            <w:gridCol w:w="1730"/>
            <w:gridCol w:w="1370"/>
            <w:gridCol w:w="30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Capacity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54 MW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10 turbines, Iowa 2020 COD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CapEx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$78 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original cost basis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Debt 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$55 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LTC ≈ 71 %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NOI / EBITDA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$6.1 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avg CF factor 36 %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DSCR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1.08×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barely compliant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IRR (levered)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≈ 9.2 %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sponsor claims 11 %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PPA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3.6 ¢ / kWh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flat to 2035</w:t>
            </w:r>
          </w:p>
        </w:tc>
      </w:tr>
    </w:tbl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Sponsor seeks to pull $3 MM cash-out; lender hesitant due to curtailment clause and turbine warranty issues.</w:t>
        <w:br w:type="textWrapping"/>
        <w:t xml:space="preserve"> Wind speed variance ± 5 % changes DSCR 0.15×.</w:t>
        <w:br w:type="textWrapping"/>
        <w:t xml:space="preserve"> Audit shows “maintenance reserve = ?” cell blank — cost underestimated ≈ $200 k / yr.</w:t>
        <w:br w:type="textWrapping"/>
        <w:t xml:space="preserve"> At corrected expense, IRR drops to 8.5 %.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