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og7qxzw1l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 012 | Riverbend Apartments – Refinance Proposal (long / formal underwriting)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Riverbend Apartments, Dallas TX, 116 units built 1986. Sponsor requests a </w:t>
      </w:r>
      <w:r w:rsidDel="00000000" w:rsidR="00000000" w:rsidRPr="00000000">
        <w:rPr>
          <w:b w:val="1"/>
          <w:rtl w:val="0"/>
        </w:rPr>
        <w:t xml:space="preserve">$14.2 MM</w:t>
      </w:r>
      <w:r w:rsidDel="00000000" w:rsidR="00000000" w:rsidRPr="00000000">
        <w:rPr>
          <w:rtl w:val="0"/>
        </w:rPr>
        <w:t xml:space="preserve"> refi to replace existing 12.7 MM loan. Property recently renovated (2022) with partial roof replacement and parking lot resurfacing.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– Operating Summary</w:t>
      </w:r>
    </w:p>
    <w:tbl>
      <w:tblPr>
        <w:tblStyle w:val="Table1"/>
        <w:tblW w:w="5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1130"/>
        <w:gridCol w:w="2675"/>
        <w:tblGridChange w:id="0">
          <w:tblGrid>
            <w:gridCol w:w="1760"/>
            <w:gridCol w:w="1130"/>
            <w:gridCol w:w="2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NOI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1.02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post-renovation run-rate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Cap Rate (ask)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market ≈ 6.8 %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79 %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value 18 MM as claimed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DSCR Yr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1.06×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thin margin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IRR (5-yr proj.)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10.2 %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sensitive to rent growth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Vacancy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normalizing to 5 % target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Narrative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Broker model assumes annual rent growth of 4.5 %, double the five-year sub-market avg (2.2 %). Expense line “Admin + Other” shows same value two years running; inflation not applied → understates cost ≈ 60 k per year. Correcting this drops IRR ≈ 0.8 pp and DSCR to 1.02×. Lender should either cap loan ≤ 13.5 MM or require sweep until coverage ≥ 1.2×.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 strong (beltline access + employment nodes), but debt service buffer too thin for rising rates. Recommend conditional approval with rate hike stress and escrow for roof final section (≈ $150 k).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