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ntju27xy7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 013 | Horizon Industrial Center – Construction Takeout (Short / Chat-Style Memo)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D. Singh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Credit Notes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Horizon Industrial – Takeout Term Sheet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Sponsor requesting </w:t>
      </w:r>
      <w:r w:rsidDel="00000000" w:rsidR="00000000" w:rsidRPr="00000000">
        <w:rPr>
          <w:b w:val="1"/>
          <w:rtl w:val="0"/>
        </w:rPr>
        <w:t xml:space="preserve">$22.8 MM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perm loan post-construction (facility complete June).</w:t>
        <w:br w:type="textWrapping"/>
        <w:t xml:space="preserve"> Appraisal “as stabilized” 27.5 MM → 83 % LTV. NOI shown 1.9 MM; back-calc suggests cap 6.9 %.</w:t>
        <w:br w:type="textWrapping"/>
        <w:t xml:space="preserve"> Rent roll includes tenant listed “Pending,” but lease not executed. Removing it drops occupancy to 82 % and DSCR from 1.15× → 1.02×.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missing $90 k management fee (left blank). If added, coverage sub-1.0×.</w:t>
        <w:br w:type="textWrapping"/>
        <w:t xml:space="preserve"> Market rents flat; steel buildings nearby offering concessions.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Recommendation: limit to 20.5 MM, require rent roll verification and final 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