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sn1pxa4vy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 017 | High Mesa Hybrid Energy – Construction &amp; Term Loan Proposal (Long / Renewable Infrastructure)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Overview</w:t>
        <w:br w:type="textWrapping"/>
      </w:r>
      <w:r w:rsidDel="00000000" w:rsidR="00000000" w:rsidRPr="00000000">
        <w:rPr>
          <w:rtl w:val="0"/>
        </w:rPr>
        <w:t xml:space="preserve"> High Mesa Hybrid Energy is a 60 MW combined solar + battery facility in New Mexico proposed by Desert Peak Renewables LLC. The sponsor requests a </w:t>
      </w:r>
      <w:r w:rsidDel="00000000" w:rsidR="00000000" w:rsidRPr="00000000">
        <w:rPr>
          <w:b w:val="1"/>
          <w:rtl w:val="0"/>
        </w:rPr>
        <w:t xml:space="preserve">$62 MM construction-to-term facility</w:t>
      </w:r>
      <w:r w:rsidDel="00000000" w:rsidR="00000000" w:rsidRPr="00000000">
        <w:rPr>
          <w:rtl w:val="0"/>
        </w:rPr>
        <w:t xml:space="preserve"> on total costs of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$74 MM (≈84 % LTC)</w:t>
      </w:r>
      <w:r w:rsidDel="00000000" w:rsidR="00000000" w:rsidRPr="00000000">
        <w:rPr>
          <w:rtl w:val="0"/>
        </w:rPr>
        <w:t xml:space="preserve"> to fund EPC completion and tax equity bridge.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Capital Breakdown</w:t>
      </w:r>
    </w:p>
    <w:tbl>
      <w:tblPr>
        <w:tblStyle w:val="Table1"/>
        <w:tblW w:w="7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5"/>
        <w:gridCol w:w="2285"/>
        <w:gridCol w:w="3065"/>
        <w:tblGridChange w:id="0">
          <w:tblGrid>
            <w:gridCol w:w="2135"/>
            <w:gridCol w:w="2285"/>
            <w:gridCol w:w="30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Amount (USD 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Solar CapEx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54.0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200 k panels (455 W)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Battery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2-hr storage @ 20 MW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Interconnect &amp; Soft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5.8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includes road + permit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Contingency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4 % allowance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Total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74.0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Rounded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Loan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62.0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84 % LTC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sponsor + tax equity pre-fund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 &amp; Economics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PPA: 20-year fixed price, </w:t>
      </w:r>
      <w:r w:rsidDel="00000000" w:rsidR="00000000" w:rsidRPr="00000000">
        <w:rPr>
          <w:b w:val="1"/>
          <w:rtl w:val="0"/>
        </w:rPr>
        <w:t xml:space="preserve">3.7¢ / kWh</w:t>
      </w:r>
      <w:r w:rsidDel="00000000" w:rsidR="00000000" w:rsidRPr="00000000">
        <w:rPr>
          <w:rtl w:val="0"/>
        </w:rPr>
        <w:t xml:space="preserve"> with regional co-op.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Production: 155 000 MWh / year.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Opex: 1.1 MM / year.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EBITDA: 4.63 MM.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Debt service (7 %, 18 yrs): 4.0 MM → DSCR ≈ </w:t>
      </w:r>
      <w:r w:rsidDel="00000000" w:rsidR="00000000" w:rsidRPr="00000000">
        <w:rPr>
          <w:b w:val="1"/>
          <w:rtl w:val="0"/>
        </w:rPr>
        <w:t xml:space="preserve">1.15×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IRR (levered): </w:t>
      </w:r>
      <w:r w:rsidDel="00000000" w:rsidR="00000000" w:rsidRPr="00000000">
        <w:rPr>
          <w:b w:val="1"/>
          <w:rtl w:val="0"/>
        </w:rPr>
        <w:t xml:space="preserve">9.5 %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base case; sensitivity: +100 bps rate → 8.4 %.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/ Risks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Counterparty Credit:</w:t>
      </w:r>
      <w:r w:rsidDel="00000000" w:rsidR="00000000" w:rsidRPr="00000000">
        <w:rPr>
          <w:rtl w:val="0"/>
        </w:rPr>
        <w:t xml:space="preserve"> Offtaker BBB– with exposure to coal retirements.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Battery Cost Uncertainty:</w:t>
      </w:r>
      <w:r w:rsidDel="00000000" w:rsidR="00000000" w:rsidRPr="00000000">
        <w:rPr>
          <w:rtl w:val="0"/>
        </w:rPr>
        <w:t xml:space="preserve"> Supplier quote from 2024; escalation +10 % possible.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Curtailment:</w:t>
      </w:r>
      <w:r w:rsidDel="00000000" w:rsidR="00000000" w:rsidRPr="00000000">
        <w:rPr>
          <w:rtl w:val="0"/>
        </w:rPr>
        <w:t xml:space="preserve"> Curtailment clause limits offtake to 90 % output; not reflected in PPA cash flow model.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Tax Equity Bridge:</w:t>
      </w:r>
      <w:r w:rsidDel="00000000" w:rsidR="00000000" w:rsidRPr="00000000">
        <w:rPr>
          <w:rtl w:val="0"/>
        </w:rPr>
        <w:t xml:space="preserve"> Not yet executed; sponsor contribution timed last minute.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 Sensitivity:</w:t>
      </w:r>
      <w:r w:rsidDel="00000000" w:rsidR="00000000" w:rsidRPr="00000000">
        <w:rPr>
          <w:rtl w:val="0"/>
        </w:rPr>
        <w:t xml:space="preserve"> DSCR drops below 1.0× if irradiance –7 %.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Mitigants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DOE guarantee eligibility under §1706 program may improve rating.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Sponsor to fund contingency and overcollateralize DSRA for 12 months.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Recommendation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Proceed only if sponsor funds 2 MM extra equity and PPA curtailment scenario is modeled. Cap loan at ≤ 58 MM to keep DSCR ≥ 1.20×.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