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x6v1078idy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 020 | Fairview Plaza Offices – Acquisition (Short / Bad Suburban Office)</w:t>
      </w:r>
    </w:p>
    <w:p w:rsidR="00000000" w:rsidDel="00000000" w:rsidP="00000000" w:rsidRDefault="00000000" w:rsidRPr="00000000" w14:paraId="0000000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From:</w:t>
      </w:r>
      <w:r w:rsidDel="00000000" w:rsidR="00000000" w:rsidRPr="00000000">
        <w:rPr>
          <w:rtl w:val="0"/>
        </w:rPr>
        <w:t xml:space="preserve"> E. Nguyen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To:</w:t>
      </w:r>
      <w:r w:rsidDel="00000000" w:rsidR="00000000" w:rsidRPr="00000000">
        <w:rPr>
          <w:rtl w:val="0"/>
        </w:rPr>
        <w:t xml:space="preserve"> Credit Committee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Fairview Plaza – Acquisition Memo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Borrower proposing </w:t>
      </w:r>
      <w:r w:rsidDel="00000000" w:rsidR="00000000" w:rsidRPr="00000000">
        <w:rPr>
          <w:b w:val="1"/>
          <w:rtl w:val="0"/>
        </w:rPr>
        <w:t xml:space="preserve">$15.5 MM</w:t>
      </w:r>
      <w:r w:rsidDel="00000000" w:rsidR="00000000" w:rsidRPr="00000000">
        <w:rPr>
          <w:rtl w:val="0"/>
        </w:rPr>
        <w:t xml:space="preserve"> purchase of Fairview Plaza, a four-story suburban office complex outside Cleveland.</w:t>
        <w:br w:type="textWrapping"/>
        <w:t xml:space="preserve"> Occupancy 56 %, two anchor tenants vacating 2026. Seller marketing on “re-lease potential,” but submarket vacancy &gt; 25 %.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NOI ≈ 930 k (when stabilized per broker). At ask, cap rate 6.0 %. Requested loan 12.5 MM → LTV ≈ 81 %.</w:t>
        <w:br w:type="textWrapping"/>
        <w:t xml:space="preserve"> Actual NOI today ≈ 520 k → cap 3.4 %, DSCR ≈ 0.7×. Model adds phantom parking income 60 k and drops utilities 20 k below historic avg.</w:t>
        <w:br w:type="textWrapping"/>
        <w:t xml:space="preserve"> Sponsor claims 15 % rent growth over two years – no precedent.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Appraisal uses comps from 2022 before submarket rents fell 12 %.</w:t>
        <w:br w:type="textWrapping"/>
        <w:t xml:space="preserve"> Roof leak active in Suite B; reserve line reads “TBD.”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