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jcqzi5002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Auburn Ridge Business Park – Refinance Overview (Industrial / Warehouse)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Deal Overview:</w:t>
        <w:br w:type="textWrapping"/>
      </w:r>
      <w:r w:rsidDel="00000000" w:rsidR="00000000" w:rsidRPr="00000000">
        <w:rPr>
          <w:rtl w:val="0"/>
        </w:rPr>
        <w:t xml:space="preserve"> Auburn Ridge is a two-building industrial park totaling 310 k SF located in a tertiary Michigan market. The borrower requests a refinance at an increased valuation following limited capital improvements. The property is 74 % occupied, with two short-term leases rolling within twelve months and a 30 k SF vacancy in Building B that has been vacant since 2023.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Underwriting Metrics: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Loan Request:</w:t>
      </w:r>
      <w:r w:rsidDel="00000000" w:rsidR="00000000" w:rsidRPr="00000000">
        <w:rPr>
          <w:rtl w:val="0"/>
        </w:rPr>
        <w:t xml:space="preserve"> 22.5 MM (@ 5.85 % fixed, 5-year term)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As-Is Value:</w:t>
      </w:r>
      <w:r w:rsidDel="00000000" w:rsidR="00000000" w:rsidRPr="00000000">
        <w:rPr>
          <w:rtl w:val="0"/>
        </w:rPr>
        <w:t xml:space="preserve"> 26.8 MM (84 % LTV)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NOI:</w:t>
      </w:r>
      <w:r w:rsidDel="00000000" w:rsidR="00000000" w:rsidRPr="00000000">
        <w:rPr>
          <w:rtl w:val="0"/>
        </w:rPr>
        <w:t xml:space="preserve"> 1.42 MM (stabilized Yr-2 1.56 MM)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 Rate:</w:t>
      </w:r>
      <w:r w:rsidDel="00000000" w:rsidR="00000000" w:rsidRPr="00000000">
        <w:rPr>
          <w:rtl w:val="0"/>
        </w:rPr>
        <w:t xml:space="preserve"> 5.3 % vs. 7 % market average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DSCR: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0.96× → 1.12×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IRR (levered):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8.6 %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Tenant Concentration:</w:t>
      </w:r>
      <w:r w:rsidDel="00000000" w:rsidR="00000000" w:rsidRPr="00000000">
        <w:rPr>
          <w:rtl w:val="0"/>
        </w:rPr>
        <w:t xml:space="preserve"> Top two tenants = 58 % of GLA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Observations:</w:t>
        <w:br w:type="textWrapping"/>
      </w:r>
      <w:r w:rsidDel="00000000" w:rsidR="00000000" w:rsidRPr="00000000">
        <w:rPr>
          <w:rtl w:val="0"/>
        </w:rPr>
        <w:t xml:space="preserve"> The rent roll is heavily front-loaded with lease expirations in 2026. Borrower has not budgeted sufficient TIs/LCs (underwritten $2 psf vs. historical $5). Insurance increased 18 % YoY with no offset. Vacancy and roll risk combined create coverage pressure.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Committee Feedback: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Refinance request considered premature; value not supported by market cap. Recommend reduce proceeds to ≤ 20 MM or require additional equity injection.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