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fakhwbe9h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Silverleaf Rehabilitation Center – Construction Takeout (Healthcare Facility Build-Out)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Investment Committee Summary (internal memo)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 Sponsor requests $19.8 MM takeout for newly built 84-bed rehabilitation center in western Pennsylvania. Facility opened six months ago with partial occupancy (42 %). Management agreement with RiverCare Health expires in two years with one extension option.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Underwriting Metrics: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Cost:</w:t>
      </w:r>
      <w:r w:rsidDel="00000000" w:rsidR="00000000" w:rsidRPr="00000000">
        <w:rPr>
          <w:rtl w:val="0"/>
        </w:rPr>
        <w:t xml:space="preserve"> 23.5 MM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Request:</w:t>
      </w:r>
      <w:r w:rsidDel="00000000" w:rsidR="00000000" w:rsidRPr="00000000">
        <w:rPr>
          <w:rtl w:val="0"/>
        </w:rPr>
        <w:t xml:space="preserve"> 19.8 MM (84 % LTC)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NOI (Year-1):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1.08 MM → 1.62 MM stabilized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DSCR: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0.92× → 1.25×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 Rate:</w:t>
      </w:r>
      <w:r w:rsidDel="00000000" w:rsidR="00000000" w:rsidRPr="00000000">
        <w:rPr>
          <w:rtl w:val="0"/>
        </w:rPr>
        <w:t xml:space="preserve"> 6.1 % projected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IRR (levered):</w:t>
      </w:r>
      <w:r w:rsidDel="00000000" w:rsidR="00000000" w:rsidRPr="00000000">
        <w:rPr>
          <w:rtl w:val="0"/>
        </w:rPr>
        <w:t xml:space="preserve"> 9.8 %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LTV (as-is):</w:t>
      </w:r>
      <w:r w:rsidDel="00000000" w:rsidR="00000000" w:rsidRPr="00000000">
        <w:rPr>
          <w:rtl w:val="0"/>
        </w:rPr>
        <w:t xml:space="preserve"> 87 %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Comments:</w:t>
        <w:br w:type="textWrapping"/>
      </w:r>
      <w:r w:rsidDel="00000000" w:rsidR="00000000" w:rsidRPr="00000000">
        <w:rPr>
          <w:rtl w:val="0"/>
        </w:rPr>
        <w:t xml:space="preserve"> Facility underperforming vs. feasibility study. Medicaid reimbursement approval delayed, forcing temporary rate freeze. Borrower’s cash reserve = $600 k (&lt; 3 months burn). Appraisal assumes 80 % stabilized occupancy by 2026, which seems optimistic.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Outcome:</w:t>
        <w:br w:type="textWrapping"/>
      </w:r>
      <w:r w:rsidDel="00000000" w:rsidR="00000000" w:rsidRPr="00000000">
        <w:rPr>
          <w:rtl w:val="0"/>
        </w:rPr>
        <w:t xml:space="preserve"> Recommend partial approval only after twelve-month trailing NOI &gt; 1.3 MM and long-term management renewal executed.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