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7fot8m078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Copper Basin Wind Phase II – Portfolio Refinance (Renewable Infrastructure)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Document 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OCR-extracted PDF (semi-degraded text)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“CapEx total ≈ 52,000,000 (70 MW repower + turbine upgrade).</w:t>
        <w:br w:type="textWrapping"/>
        <w:t xml:space="preserve"> Existing debt 40,000,000 (maturity 2026).</w:t>
        <w:br w:type="textWrapping"/>
        <w:t xml:space="preserve"> EBITDA est. 6.7MM → 7.2MM (stabilized).</w:t>
        <w:br w:type="textWrapping"/>
        <w:t xml:space="preserve"> DSCR (base) 1.05x → 1.18x.</w:t>
        <w:br w:type="textWrapping"/>
        <w:t xml:space="preserve"> IRR model missing: ‘#REF!’ cell in sheet.</w:t>
        <w:br w:type="textWrapping"/>
        <w:t xml:space="preserve"> LTV calc = Loan / Cost → 82% (maybe 84%?).</w:t>
        <w:br w:type="textWrapping"/>
        <w:t xml:space="preserve"> O&amp;M escalation 3%, PPA renew 2035 @ 55/MWh (prev 48).</w:t>
        <w:br w:type="textWrapping"/>
        <w:t xml:space="preserve"> Sponsor requests cash-out 2.5MM citing turbine warranty reimbursement.</w:t>
        <w:br w:type="textWrapping"/>
        <w:t xml:space="preserve"> Analyst comment: “EBITDA overstated; true net 6.1MM after reserve.””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Committee Note (transcribed):</w:t>
        <w:br w:type="textWrapping"/>
      </w:r>
      <w:r w:rsidDel="00000000" w:rsidR="00000000" w:rsidRPr="00000000">
        <w:rPr>
          <w:rtl w:val="0"/>
        </w:rPr>
        <w:t xml:space="preserve"> Cash-out proceeds not justified under coverage metrics. Recommend flat refi, no distribution.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