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zgf6zf3lx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[DOC ID: 003 | DEAL: Harbor Point Hotel – Bridge Refi | TYPE: Internal Email Thread]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J. Morales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Credit Committee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CC:</w:t>
      </w:r>
      <w:r w:rsidDel="00000000" w:rsidR="00000000" w:rsidRPr="00000000">
        <w:rPr>
          <w:rtl w:val="0"/>
        </w:rPr>
        <w:t xml:space="preserve"> A. Vance, M. Larkin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Harbor Point Hotel – bridge refi request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Borrower’s asking 6.5MM payoff refi on the 58-room Harbor Point Hotel (Cape May). Current debt 6.1MM maturing April; wants 12-mo bridge to stabilize post-renovation. NOI still negative because half the rooms offline.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keep pushing a “pro forma” showing 1.2MM EBITDA by next summer, but YTD ops through Feb only 58k positive cashflow. CapEx draw to date 2.7MM out of planned 3.3MM—rooms 30–48 still incomplete.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Appraisal draft at 8.4MM “as complete,” 6.7MM “as-is.” At ask, LTV 97% as-is. We could structure w/ 250k holdback for completion but still thin. DSCR penciled 0.88× on trailing NOI, breakeven 63% occupancy (they’ve averaged 47).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Reply – M. Larkin:</w:t>
        <w:br w:type="textWrapping"/>
      </w:r>
      <w:r w:rsidDel="00000000" w:rsidR="00000000" w:rsidRPr="00000000">
        <w:rPr>
          <w:rtl w:val="0"/>
        </w:rPr>
        <w:t xml:space="preserve"> I spoke with Randy (borrower). He’s assuming ADR +$35/night after renovations, but hasn’t re-signed with booking platform. That assumption drives half the NOI bump.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Reply – J. Morales:</w:t>
        <w:br w:type="textWrapping"/>
      </w:r>
      <w:r w:rsidDel="00000000" w:rsidR="00000000" w:rsidRPr="00000000">
        <w:rPr>
          <w:rtl w:val="0"/>
        </w:rPr>
        <w:t xml:space="preserve"> exactly. I told him we’d need trailing T12 post-summer before considering takeout. For now just extend 90 days, maybe short-term note.</w:t>
      </w:r>
    </w:p>
    <w:p w:rsidR="00000000" w:rsidDel="00000000" w:rsidP="00000000" w:rsidRDefault="00000000" w:rsidRPr="00000000" w14:paraId="0000000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Reply – A. Vance:</w:t>
        <w:br w:type="textWrapping"/>
      </w:r>
      <w:r w:rsidDel="00000000" w:rsidR="00000000" w:rsidRPr="00000000">
        <w:rPr>
          <w:rtl w:val="0"/>
        </w:rPr>
        <w:t xml:space="preserve"> concur. Committee not likely to bless full refi w/ current occupancy. Flag doc for watchlist—rolls to “special mention” if no improvement by June.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