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ycwgl7ylcwx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Oak Hollow Estates – Land Acquisition for Residential Subdivision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Document Type: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Email thread (broker summary + underwriter response)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From: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jkim@broadpeakadvisors.com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underwriting@allegiancapital.com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Subject:</w:t>
      </w:r>
      <w:r w:rsidDel="00000000" w:rsidR="00000000" w:rsidRPr="00000000">
        <w:rPr>
          <w:rtl w:val="0"/>
        </w:rPr>
        <w:t xml:space="preserve"> Oak Hollow Estates – Land Loan Memo (Updated Projections)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Email #1 – Broker:</w:t>
      </w:r>
    </w:p>
    <w:p w:rsidR="00000000" w:rsidDel="00000000" w:rsidP="00000000" w:rsidRDefault="00000000" w:rsidRPr="00000000" w14:paraId="00000005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Total site = 82 acres zoned R-3, target 198 lots.</w:t>
        <w:br w:type="textWrapping"/>
        <w:t xml:space="preserve"> Purchase price $6.2MM ($75k/lot basis).</w:t>
        <w:br w:type="textWrapping"/>
        <w:t xml:space="preserve"> Loan ask $4.8MM (≈ 77 % LTC).</w:t>
        <w:br w:type="textWrapping"/>
        <w:t xml:space="preserve"> Horizontal development cost $8.5MM to be funded later.</w:t>
        <w:br w:type="textWrapping"/>
        <w:t xml:space="preserve"> Developer pre-sold only 12 lots (≈ 6 %).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Email #2 – Underwriter internal note:</w:t>
      </w:r>
    </w:p>
    <w:p w:rsidR="00000000" w:rsidDel="00000000" w:rsidP="00000000" w:rsidRDefault="00000000" w:rsidRPr="00000000" w14:paraId="00000007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“Model assumes 18-month entitlement, 24-month infrastructure. Holding cost ~$60k/mo not modeled.</w:t>
        <w:br w:type="textWrapping"/>
        <w:t xml:space="preserve"> Market absorption 4–6 lots/mo; pro forma implies 12. Unrealistic.”</w:t>
      </w:r>
    </w:p>
    <w:p w:rsidR="00000000" w:rsidDel="00000000" w:rsidP="00000000" w:rsidRDefault="00000000" w:rsidRPr="00000000" w14:paraId="00000008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DSCR not applicable – interest reserve funded 12 mo.</w:t>
        <w:br w:type="textWrapping"/>
        <w:t xml:space="preserve"> IRR (levered, estimated) ~9.5 % if timeline holds; falls &lt;7 % with 6-mo delay.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Committee Disposition: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Decline. Recommend consider once presales ≥ 40 lots or horizontal phase 50 % complete.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