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je1h8b79i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Redstone LNG Offloading Terminal – Bridge Financing Proposal (Infrastructure / Port Energy Asset)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Confidential Project Finance Proposal – Sponsor Draft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Executive Summary:</w:t>
        <w:br w:type="textWrapping"/>
      </w:r>
      <w:r w:rsidDel="00000000" w:rsidR="00000000" w:rsidRPr="00000000">
        <w:rPr>
          <w:rtl w:val="0"/>
        </w:rPr>
        <w:t xml:space="preserve"> Redstone LNG LLC seeks a $210 MM bridge financing facility to fund construction of its new offloading berth, cryogenic pipeline connection, and 20 km rail spur in coastal Louisiana. The project is phase-linked to the Redstone liquefaction plant (under separate funding). Sponsor proposes 18-month construction, followed by permanent take-out from a 15-year term lender upon completion and throughput contracts.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Highlights Claimed by Sponsor: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1.6 MM ton/yr capacity; 20-year useful life.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committed offtakers (letters of intent, not final contracts).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Construction EPC = BayCon Energy Services (limited LNG track record).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Anticipated revenue: $42 MM Yr-1, EBITDA ≈ 21 MM.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Financing Structure: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6.705202312139"/>
        <w:gridCol w:w="1716.573830793484"/>
        <w:gridCol w:w="2734.713610089333"/>
        <w:gridCol w:w="3502.0073568050448"/>
        <w:tblGridChange w:id="0">
          <w:tblGrid>
            <w:gridCol w:w="1406.705202312139"/>
            <w:gridCol w:w="1716.573830793484"/>
            <w:gridCol w:w="2734.713610089333"/>
            <w:gridCol w:w="3502.00735680504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Bridge 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18 mo @ SOFR + 550 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To be refinanced post-COD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Committed by sponsor consortium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Total CapEx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250 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Projected Financial Performance:</w:t>
      </w:r>
    </w:p>
    <w:tbl>
      <w:tblPr>
        <w:tblStyle w:val="Table2"/>
        <w:tblW w:w="5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1130"/>
        <w:gridCol w:w="1145"/>
        <w:gridCol w:w="1295"/>
        <w:gridCol w:w="890"/>
        <w:tblGridChange w:id="0">
          <w:tblGrid>
            <w:gridCol w:w="710"/>
            <w:gridCol w:w="1130"/>
            <w:gridCol w:w="1145"/>
            <w:gridCol w:w="1295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Debt 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(20.1 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38.0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19.2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(20.1 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0.95×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41.5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21.0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(20.1 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1.04×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42.0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21.3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(20.1 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1.06×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42.5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21.5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(20.1 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1.07×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Illustrative Leverage &amp; Coverage Chart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DSCR vs. Leverage (LTC)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1.3 |                *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1.2 |              *           (Target ≥1.25×)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1.1 |           *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 |        *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0.9 |     *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0.8 |  *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70   75   80   85   90   95  (%LTC)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EPC cost buffer only 3 %; historical LNG civil projects average overruns ≥ 8 %.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Throughput contracts non-binding; sponsors relying on “expected” long-term charter.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Bridge loan balloon risk: repayment contingent on timely permanent debt close.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Modeled IRR ≈ 9.0 % levered; sensitivity –1 % revenue → IRR 6 %.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Insurance and force-majeure provisions incomplete.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Assessment:</w:t>
        <w:br w:type="textWrapping"/>
      </w:r>
      <w:r w:rsidDel="00000000" w:rsidR="00000000" w:rsidRPr="00000000">
        <w:rPr>
          <w:rtl w:val="0"/>
        </w:rPr>
        <w:t xml:space="preserve"> Environmental approvals partially conditional; potential delays in dredging authorization could extend construction 6–8 months. Commodity-linked throughput contracts expose project to global LNG volatility.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Credit Committee Response: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Consensus: decline as structured. Recommend short-term standby letter-of-credit facility ≤ $100 MM to cover EPC mobilization until take-out financing confirmed.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