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hzzith31u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Iron Harbor Logistics Park – Development Loan Package (Industrial / Distribution)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Document Type: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Full Credit Committee Memorandum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Executive Summary:</w:t>
        <w:br w:type="textWrapping"/>
      </w:r>
      <w:r w:rsidDel="00000000" w:rsidR="00000000" w:rsidRPr="00000000">
        <w:rPr>
          <w:rtl w:val="0"/>
        </w:rPr>
        <w:t xml:space="preserve"> Iron Harbor Logistics Park is a proposed three-building, 1.2 MM SF speculative industrial development in Savannah, GA, strategically located near the Garden City Port terminals. The sponsor—Pinnacle Freight Partners—requests a </w:t>
      </w:r>
      <w:r w:rsidDel="00000000" w:rsidR="00000000" w:rsidRPr="00000000">
        <w:rPr>
          <w:b w:val="1"/>
          <w:rtl w:val="0"/>
        </w:rPr>
        <w:t xml:space="preserve">$126 MM construction facility</w:t>
      </w:r>
      <w:r w:rsidDel="00000000" w:rsidR="00000000" w:rsidRPr="00000000">
        <w:rPr>
          <w:rtl w:val="0"/>
        </w:rPr>
        <w:t xml:space="preserve"> to finance the first phase. The project targets port-related tenants with 36’ clear heights and cross-dock configurations.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Underwriting Metrics</w:t>
      </w:r>
    </w:p>
    <w:tbl>
      <w:tblPr>
        <w:tblStyle w:val="Table1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2675"/>
        <w:gridCol w:w="3080"/>
        <w:tblGridChange w:id="0">
          <w:tblGrid>
            <w:gridCol w:w="1955"/>
            <w:gridCol w:w="2675"/>
            <w:gridCol w:w="30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Total Project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$168.5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Phase I only (Bldgs A–C)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Loan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$126 MM (≈ 75 % LTC)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4-yr term, 7.0 % interest-only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Sponsor 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$42.5 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25 % cash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Stabilized NOI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10.6 MM (Yr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assumes 90 % occupancy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DSCR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0.89× → 1.22×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below min. during lease-up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Cap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6.1 % vs. 5.7 % market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slight mis-match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Levered IRR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10.3 % (base)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Exit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$173 MM (6 % cap Yr 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nominal uplift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Market Overview:</w:t>
        <w:br w:type="textWrapping"/>
      </w:r>
      <w:r w:rsidDel="00000000" w:rsidR="00000000" w:rsidRPr="00000000">
        <w:rPr>
          <w:rtl w:val="0"/>
        </w:rPr>
        <w:t xml:space="preserve"> Savannah’s industrial market remains supply-heavy: 26 MM SF under construction with 10.2 % vacancy (up from 3 % in 2022). Rents plateaued at $5.75 psf NNN. Phase I’s speculative nature compounds risk; no pre-leases are in place, though the sponsor cites “active interest” from two 250 k SF users.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Underwriter Observations: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 Risk: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Debt carry ≈ $880 k per month with zero income until 2027.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Valuation:</w:t>
      </w:r>
      <w:r w:rsidDel="00000000" w:rsidR="00000000" w:rsidRPr="00000000">
        <w:rPr>
          <w:rtl w:val="0"/>
        </w:rPr>
        <w:t xml:space="preserve"> Land cost marked $6.5 MM (acquired 2021 for $3.8 MM); internal gain inflates equity position.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Contingency:</w:t>
      </w:r>
      <w:r w:rsidDel="00000000" w:rsidR="00000000" w:rsidRPr="00000000">
        <w:rPr>
          <w:rtl w:val="0"/>
        </w:rPr>
        <w:t xml:space="preserve"> 4 % vs. market 7–8 %; inadequate buffer.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Cap Compression:</w:t>
      </w:r>
      <w:r w:rsidDel="00000000" w:rsidR="00000000" w:rsidRPr="00000000">
        <w:rPr>
          <w:rtl w:val="0"/>
        </w:rPr>
        <w:t xml:space="preserve"> Assumed 6 % exit inconsistent with upward market trend toward 6.5 %.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Sponsor History:</w:t>
      </w:r>
      <w:r w:rsidDel="00000000" w:rsidR="00000000" w:rsidRPr="00000000">
        <w:rPr>
          <w:rtl w:val="0"/>
        </w:rPr>
        <w:t xml:space="preserve"> Two prior developments delayed; both required loan extensions.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Summary – Coverage vs Occupancy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DSCR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1.4 |                          ▇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1.2 |                ▇▇▇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1.0 |       ▇▇▇▇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0.8 |▇▇▇▇▇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50%    70%    90%    100%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Occupancy Level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Committee Discussion: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Members acknowledged sponsor’s track record but noted thin equity and speculative nature. Even under the optimistic case, IRR ≈ 11 %, well below risk-adjusted targets.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Decline as proposed; reconsider with ≥ 30 % equity and signed LOI for ≥ 400 k SF prior to first draw.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