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f9vyb4jd3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Suncrest Self-Storage Portfolio – Portfolio Refinance (Self-Storage Acquisition / Repositioning)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Broker-Prepared Investment Summary + Internal Underwriter Commentary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  <w:br w:type="textWrapping"/>
      </w:r>
      <w:r w:rsidDel="00000000" w:rsidR="00000000" w:rsidRPr="00000000">
        <w:rPr>
          <w:rtl w:val="0"/>
        </w:rPr>
        <w:t xml:space="preserve"> Suncrest Capital requests refinancing of a four-property self-storage portfolio across the Carolinas, totaling 362,000 rentable SF (3,250 units). Properties range from 1988 to 2017 vintage. Portfolio is 83 % occupied, with below-market rents in two tertiary assets (Greenville &amp; Florence). Sponsor seeks $37.5 MM loan to retire bridge debt and fund minor expansions.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Metrics (Consolidated):</w:t>
      </w:r>
    </w:p>
    <w:tbl>
      <w:tblPr>
        <w:tblStyle w:val="Table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3560"/>
        <w:gridCol w:w="2645"/>
        <w:tblGridChange w:id="0">
          <w:tblGrid>
            <w:gridCol w:w="2345"/>
            <w:gridCol w:w="3560"/>
            <w:gridCol w:w="26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Portfolio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Purchase Price (2023)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45.8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original acquisition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Current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43.2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per recent MAI appraisal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Loan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37.5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86.8 % LTV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NOI (2024A / 2026F)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2.25 MM → 2.72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assumes 4 % rent growth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Cap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5.2 % (appraisal) vs. 6.1 % market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compression issue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DSCR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0.96× → 1.18×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underwritten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Levered IRR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9.4 %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optimistic base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82 %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Regional Split:</w:t>
      </w:r>
    </w:p>
    <w:tbl>
      <w:tblPr>
        <w:tblStyle w:val="Table2"/>
        <w:tblW w:w="7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1040"/>
        <w:gridCol w:w="1370"/>
        <w:gridCol w:w="1190"/>
        <w:gridCol w:w="2525"/>
        <w:tblGridChange w:id="0">
          <w:tblGrid>
            <w:gridCol w:w="1250"/>
            <w:gridCol w:w="1040"/>
            <w:gridCol w:w="1370"/>
            <w:gridCol w:w="1190"/>
            <w:gridCol w:w="25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NOI (k)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Occupancy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Charlotte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870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90 %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5.2 %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new build (2017)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Columbia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82 %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6.0 %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older facility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Greenville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79 %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6.3 %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weak rent story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Florence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76 %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6.6 %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oversupplied submarket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Underwriting Commentary (internal):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Compression:</w:t>
      </w:r>
      <w:r w:rsidDel="00000000" w:rsidR="00000000" w:rsidRPr="00000000">
        <w:rPr>
          <w:rtl w:val="0"/>
        </w:rPr>
        <w:t xml:space="preserve"> Two assets appraised below cost; total portfolio value now 5.7 % under 2023 purchase.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Expense Drift:</w:t>
      </w:r>
      <w:r w:rsidDel="00000000" w:rsidR="00000000" w:rsidRPr="00000000">
        <w:rPr>
          <w:rtl w:val="0"/>
        </w:rPr>
        <w:t xml:space="preserve"> Payroll and utilities up 14 % YoY, no offset modeled.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 Structure:</w:t>
      </w:r>
      <w:r w:rsidDel="00000000" w:rsidR="00000000" w:rsidRPr="00000000">
        <w:rPr>
          <w:rtl w:val="0"/>
        </w:rPr>
        <w:t xml:space="preserve"> Proposed interest-only 3 years; DSCR &lt; 1.0× for half the term.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 Risk:</w:t>
      </w:r>
      <w:r w:rsidDel="00000000" w:rsidR="00000000" w:rsidRPr="00000000">
        <w:rPr>
          <w:rtl w:val="0"/>
        </w:rPr>
        <w:t xml:space="preserve"> Cap-rate expansion to 6.25 % yields $43 MM exit value (barely above debt).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 Growth:</w:t>
      </w:r>
      <w:r w:rsidDel="00000000" w:rsidR="00000000" w:rsidRPr="00000000">
        <w:rPr>
          <w:rtl w:val="0"/>
        </w:rPr>
        <w:t xml:space="preserve"> Modeled 4 %, but submarket historical 1.8–2.2 %.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NOI vs. Debt Service Chart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($MM)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3.0 |                     ▇▇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2.5 |             ▇▇▇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2.0 |     ▇▇▇▇▇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1.5 |▇▇▇▇▇▇▇▇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Yr1  Yr2  Yr3  Yr4  Yr5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Committee Discussion: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Members highlighted regional oversupply, compression reversal, and aging collateral. Sponsor financials acceptable but rent growth assumptions unrealistic. Recommendation: decline or reprice to ≤ $33 MM loan (≈ 77 % LTV).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Portfolio exhibits moderate geographic diversification but lacks pricing power; minimal spread between debt cost and yield.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