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lpbd7956l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Atlas Fund III Recapitalization – Private Equity Investment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Investor Presentation (Deck Transcript + Analyst Notes)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1: Overview</w:t>
        <w:br w:type="textWrapping"/>
      </w:r>
      <w:r w:rsidDel="00000000" w:rsidR="00000000" w:rsidRPr="00000000">
        <w:rPr>
          <w:rtl w:val="0"/>
        </w:rPr>
        <w:t xml:space="preserve"> Atlas Capital Partners seeks a $400 MM recapitalization of </w:t>
      </w:r>
      <w:r w:rsidDel="00000000" w:rsidR="00000000" w:rsidRPr="00000000">
        <w:rPr>
          <w:b w:val="1"/>
          <w:rtl w:val="0"/>
        </w:rPr>
        <w:t xml:space="preserve">Fund III</w:t>
      </w:r>
      <w:r w:rsidDel="00000000" w:rsidR="00000000" w:rsidRPr="00000000">
        <w:rPr>
          <w:rtl w:val="0"/>
        </w:rPr>
        <w:t xml:space="preserve">, an existing portfolio comprising 11 lower-middle-market industrial and logistics companies.</w:t>
        <w:br w:type="textWrapping"/>
        <w:t xml:space="preserve"> The transaction recapitalizes legacy LPs (vintage 2017) and funds follow-on investments across three platforms: precision components, packaging, and light manufacturing.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Capital Structure</w:t>
      </w:r>
    </w:p>
    <w:tbl>
      <w:tblPr>
        <w:tblStyle w:val="Table1"/>
        <w:tblW w:w="9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1745"/>
        <w:gridCol w:w="2495"/>
        <w:gridCol w:w="2705"/>
        <w:tblGridChange w:id="0">
          <w:tblGrid>
            <w:gridCol w:w="2150"/>
            <w:gridCol w:w="1745"/>
            <w:gridCol w:w="2495"/>
            <w:gridCol w:w="27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Senior Credit (avg.)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6.5 % blended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secured at portfolio level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New Pref 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10 % pref + 2× exit cap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from incoming LPs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Sponsor Rollover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100 % reinvest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GP remains 15 % commit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Total Enterprise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Portfolio Financials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EBITDA (2025 est.):</w:t>
      </w:r>
      <w:r w:rsidDel="00000000" w:rsidR="00000000" w:rsidRPr="00000000">
        <w:rPr>
          <w:rtl w:val="0"/>
        </w:rPr>
        <w:t xml:space="preserve"> 78.0 MM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Leverage:</w:t>
      </w:r>
      <w:r w:rsidDel="00000000" w:rsidR="00000000" w:rsidRPr="00000000">
        <w:rPr>
          <w:rtl w:val="0"/>
        </w:rPr>
        <w:t xml:space="preserve"> 6.5× (gross) / 5.3× (net)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IRR (fund level):</w:t>
      </w:r>
      <w:r w:rsidDel="00000000" w:rsidR="00000000" w:rsidRPr="00000000">
        <w:rPr>
          <w:rtl w:val="0"/>
        </w:rPr>
        <w:t xml:space="preserve"> 10.4 % modeled (base)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TVPI:</w:t>
      </w:r>
      <w:r w:rsidDel="00000000" w:rsidR="00000000" w:rsidRPr="00000000">
        <w:rPr>
          <w:rtl w:val="0"/>
        </w:rPr>
        <w:t xml:space="preserve"> 1.45× (target)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MOIC (gross):</w:t>
      </w:r>
      <w:r w:rsidDel="00000000" w:rsidR="00000000" w:rsidRPr="00000000">
        <w:rPr>
          <w:rtl w:val="0"/>
        </w:rPr>
        <w:t xml:space="preserve"> 1.62×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Key Issues (as flagged by diligence)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Portfolio EBITDA “run-rate” inflated by pro forma add-backs (~$9 MM non-recurring).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of eleven companies on covenant waiver; one recently sold below carrying value.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 proposing to retain 2× carry on recap proceeds.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pref equity structure heavily senior to rollover equity, compressing residual IRR to 8–9 %.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Market Context &amp; Peer Comparison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 IRR Range (%)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 |                         *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 |                    *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 |          *    (Atlas Fund III)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 | * *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2016   2017   2018   2019   2020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Analyst Commentary:</w:t>
        <w:br w:type="textWrapping"/>
      </w:r>
      <w:r w:rsidDel="00000000" w:rsidR="00000000" w:rsidRPr="00000000">
        <w:rPr>
          <w:rtl w:val="0"/>
        </w:rPr>
        <w:t xml:space="preserve"> While fund-level diversification provides downside mitigation, legacy asset fatigue limits upside. The recap primarily monetizes older holdings rather than funding new alpha. Effective yield on new capital &lt; 9 %.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Discussion:</w:t>
        <w:br w:type="textWrapping"/>
      </w:r>
      <w:r w:rsidDel="00000000" w:rsidR="00000000" w:rsidRPr="00000000">
        <w:rPr>
          <w:rtl w:val="0"/>
        </w:rPr>
        <w:t xml:space="preserve"> Proposal misaligns GP incentive; economics favor fee preservation over performance. Recommend </w:t>
      </w:r>
      <w:r w:rsidDel="00000000" w:rsidR="00000000" w:rsidRPr="00000000">
        <w:rPr>
          <w:i w:val="1"/>
          <w:rtl w:val="0"/>
        </w:rPr>
        <w:t xml:space="preserve">observe only</w:t>
      </w:r>
      <w:r w:rsidDel="00000000" w:rsidR="00000000" w:rsidRPr="00000000">
        <w:rPr>
          <w:rtl w:val="0"/>
        </w:rPr>
        <w:t xml:space="preserve">; no new commitment.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