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z8pulcyoa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Meridian Credit Opportunities – Distressed Note Purchase (Hidden Alpha)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Internal Underwriter Analysis – Special Situations Desk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 Meridian Capital Partners proposes acquiring a non-performing senior loan secured by a 220 k SF industrial facility in the Indianapolis MSA. The existing lender (FirstBank Midwest) is offering the note at </w:t>
      </w:r>
      <w:r w:rsidDel="00000000" w:rsidR="00000000" w:rsidRPr="00000000">
        <w:rPr>
          <w:b w:val="1"/>
          <w:rtl w:val="0"/>
        </w:rPr>
        <w:t xml:space="preserve">72 ¢ on the dollar</w:t>
      </w:r>
      <w:r w:rsidDel="00000000" w:rsidR="00000000" w:rsidRPr="00000000">
        <w:rPr>
          <w:rtl w:val="0"/>
        </w:rPr>
        <w:t xml:space="preserve"> due to default by the current borrower. The collateral is 90 % leased under a long-term lease to A-rated tenant </w:t>
      </w:r>
      <w:r w:rsidDel="00000000" w:rsidR="00000000" w:rsidRPr="00000000">
        <w:rPr>
          <w:i w:val="1"/>
          <w:rtl w:val="0"/>
        </w:rPr>
        <w:t xml:space="preserve">LogiTech Components, Inc.</w:t>
      </w:r>
      <w:r w:rsidDel="00000000" w:rsidR="00000000" w:rsidRPr="00000000">
        <w:rPr>
          <w:rtl w:val="0"/>
        </w:rPr>
        <w:t xml:space="preserve"> through 2034.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Snapshot:</w:t>
      </w:r>
    </w:p>
    <w:tbl>
      <w:tblPr>
        <w:tblStyle w:val="Table1"/>
        <w:tblW w:w="8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80"/>
        <w:gridCol w:w="4730"/>
        <w:tblGridChange w:id="0">
          <w:tblGrid>
            <w:gridCol w:w="3380"/>
            <w:gridCol w:w="47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Unpaid Principal Balance (UPB)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$41.0 MM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Purchase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$29.5 MM (72 %)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Collateral Appraised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$43.0 MM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Current NOI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$3.4 MM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Coupon on 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6.25 % fixed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Remaining 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8 years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Borrower Default Reason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cross-default on affiliate loan, not performance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Proposed Financing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60 % LTV repo line @ 4.5 %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Equity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$11.8 MM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Cash-Flow Profile: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Meridian purchases at $29.5 MM, the note generates $2.56 MM annual interest income. Even after financing costs (4.5 % × $17.7 MM = $0.80 MM), net yield on equity ≈ 15 % unlevered; 22–23 % levered assuming 2-year exit via reinstatement or payoff at par.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Market Context:</w:t>
        <w:br w:type="textWrapping"/>
      </w:r>
      <w:r w:rsidDel="00000000" w:rsidR="00000000" w:rsidRPr="00000000">
        <w:rPr>
          <w:rtl w:val="0"/>
        </w:rPr>
        <w:t xml:space="preserve"> Industrial yields in Indianapolis average 6.0 % cap; this note’s collateral coverage (NOI / price) = 11.5 %.</w:t>
        <w:br w:type="textWrapping"/>
        <w:t xml:space="preserve"> Workout risk low—tenant paying directly into lockbox. Borrower default triggered by holding-company covenant, not property cash flow.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Underwriter Commentary:</w:t>
        <w:br w:type="textWrapping"/>
      </w:r>
      <w:r w:rsidDel="00000000" w:rsidR="00000000" w:rsidRPr="00000000">
        <w:rPr>
          <w:rtl w:val="0"/>
        </w:rPr>
        <w:t xml:space="preserve"> Initial impression suggests a marginal “loan-to-own” strategy, but deeper analysis reveals embedded yield mispricing: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Purchase discount ≈ 28 % = $11.5 MM immediate mark-to-market upside.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 if borrower cures at 85 ¢, IRR ≈ 17 %.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taken to maturity at par, cash yield &gt; 11 %.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Downside protection: collateral DSCR 1.6× on actual NOI.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Factors: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Legal costs $350 k–$500 k (foreclosure backup).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Single-tenant concentration.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Counterparty negotiation length uncertain (6–9 months).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Simplified Scenario Chart: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 Price vs. IRR (%)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Par |———————————————★ 23%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90¢ |—————————★ 17%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80¢ |——————★ 12%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70¢ |——★ 7%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Analyst Conclusion:</w:t>
        <w:br w:type="textWrapping"/>
      </w:r>
      <w:r w:rsidDel="00000000" w:rsidR="00000000" w:rsidRPr="00000000">
        <w:rPr>
          <w:rtl w:val="0"/>
        </w:rPr>
        <w:t xml:space="preserve"> Superficially appears like another distressed debt trade, but credit quality and cash-flow strength imply institutional-grade risk at sub-BB pricing. Recommend proceed with structured financing; secure pari-passu participant to share exposure.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