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xen1zeo18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Hollow Creek Debt Recovery Fund – Handwritten Memo (OCR / Mixed Source Style)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Document 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OCR Transcription – Handwritten Note Scan (Distressed Debt / Construction Loan Syndication)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“Deal name: Hollow Creek Debt Recovery Fund – tranche C syndication.</w:t>
        <w:br w:type="textWrapping"/>
        <w:t xml:space="preserve"> Notes found in underwriting binder (handwritten):”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(Transcribed text w/ partial errors)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“total exposure = $82MM (our 12MM piece). Construction stopped Nov 2023.</w:t>
        <w:br w:type="textWrapping"/>
        <w:t xml:space="preserve"> original sponsor BluePeak Dev LLC insolvent. Collateral 4 partially built townhomes + 18 lots (entitled).</w:t>
        <w:br w:type="textWrapping"/>
        <w:t xml:space="preserve"> market value maybe 54MM? (no updated appraisal).”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“Loan structure weird: 1st lien 55MM, mezz 15MM, pref 12MM.</w:t>
        <w:br w:type="textWrapping"/>
        <w:t xml:space="preserve"> our piece sits pari-passu w/ mezz (!!!) → not recorded.</w:t>
        <w:br w:type="textWrapping"/>
        <w:t xml:space="preserve"> coupon 9.5% paid current 3mo, now 0.”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“Lender plan: foreclose jointly, hold REO 18mo, sell lots individually. Modeled recovery 70¢ (best), 55¢ (base), 40¢ (stress).”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“math check (scratched): ‘IRR = (Recov / Px) ^(1/yrs) - 1 → (0.70 / 1)^0.5 -1 = -16% ?? wrong?’ → scribbled next to: ‘maybe -8% net.’”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Attached ‘Summary Table’ (OCR uncertain):</w:t>
      </w:r>
    </w:p>
    <w:tbl>
      <w:tblPr>
        <w:tblStyle w:val="Table1"/>
        <w:tblW w:w="7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5"/>
        <w:gridCol w:w="1925"/>
        <w:gridCol w:w="2540"/>
        <w:tblGridChange w:id="0">
          <w:tblGrid>
            <w:gridCol w:w="3005"/>
            <w:gridCol w:w="1925"/>
            <w:gridCol w:w="25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Est. Value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Collateral (4 finished + land)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“maybe optimistic”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Loan Balance (Total)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Expected Recovery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“includes carry &amp; fees”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Shortfall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(27)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“unrecovered principal”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Carry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(1.2 / mo)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“while REO held”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Analyst Typed Addendum: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“No verifiable sponsor rescue capital. Construction incomplete and materials on site vandalized. Carry costs &gt; 150k/mo. Any interest payment unlikely until liquidation. Recommend full markdown to 50 % of par immediately.”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Sketch (from scanned notebook margin)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recovery line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90% |—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80% |—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70% |—★ base case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60% |—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50% |—★ stress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40% |—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time → (months 0–18)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Committee Outcome: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Consensus: write-down required. Syndication halted. Fund exposure likely impaired ≥ 35 %.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