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7sqqdn7zv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Willow Bend Solar-Storage Hybrid – Investment Summary Deck (Renewable Infrastructure / Slide Transcript)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Document 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Sponsor Presentation (Deck Transcript + Committee Notes)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Slide 1 – Overview</w:t>
        <w:br w:type="textWrapping"/>
      </w:r>
      <w:r w:rsidDel="00000000" w:rsidR="00000000" w:rsidRPr="00000000">
        <w:rPr>
          <w:rtl w:val="0"/>
        </w:rPr>
        <w:t xml:space="preserve"> Project : Willow Bend Solar Storage Hybrid (“WBSS”)</w:t>
        <w:br w:type="textWrapping"/>
        <w:t xml:space="preserve"> Location : Outside Bakersfield, CA</w:t>
        <w:br w:type="textWrapping"/>
        <w:t xml:space="preserve"> Sponsor : SunTrace Renewables LLC</w:t>
        <w:br w:type="textWrapping"/>
        <w:t xml:space="preserve"> Capacity : 42 MW DC solar + 8 MWh battery (lithium-ion)</w:t>
        <w:br w:type="textWrapping"/>
        <w:t xml:space="preserve"> Total Cost : $86.4 MM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 – Capital Structure</w:t>
      </w:r>
    </w:p>
    <w:tbl>
      <w:tblPr>
        <w:tblStyle w:val="Table1"/>
        <w:tblW w:w="7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1745"/>
        <w:gridCol w:w="1850"/>
        <w:gridCol w:w="1940"/>
        <w:tblGridChange w:id="0">
          <w:tblGrid>
            <w:gridCol w:w="1715"/>
            <w:gridCol w:w="1745"/>
            <w:gridCol w:w="1850"/>
            <w:gridCol w:w="19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Senior Loan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68.0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SOFR + 425 bps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18-yr tenor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Tax Equity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flip @ 35 % IRR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unconfirmed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Sponsor Equity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SunTrace internal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86.4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 – Underwriting Metrics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PPA Price : $48/MWh (vs CAISO spot ≈ $42)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Degradation : 0.55 %/yr (industry avg 0.75 %)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Capacity Factor : 30 % (stated), 25 % validated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EBITDA Year 1 : $9.8 MM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DSCR : 1.08× → 1.25×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IRR (levered) ≈ 8.6 % modelled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 – Analyst Observations (voice transcript)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“Their model omits $1.2 MM annual O&amp;M escalation. Battery replacement reserve missing. Also assumes ‘debt service constant despite rate step-up’ — not true.”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“Tax equity flip structure not finalized; projected DSCR post-flip drops &lt; 1.0×.”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“PPA counterparty rated BBB-; term 15 yrs vs. loan 18 yrs — mismatch.”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 – Chart (EBITDA vs Debt Service)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$MM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12 |                         ▇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10 |                 ▇▇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 8 |          ▇▇▇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 6 |▇▇▇▇▇▇▇▇▇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Yr1   Yr5   Yr9   Yr13   Yr17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Debt Service ≈ 8.9MM flat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Slide 6 – Committee Outcome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Consensus: over-levered merchant-exposed solar with missing reserves and maturity mismatch. Sponsor credibility questioned (Phase II project default 2024).</w:t>
        <w:br w:type="textWrapping"/>
        <w:t xml:space="preserve"> Recommendation: Decline as structured; possible revisit ≤ 60 % LTC and tax-equity flip finalized.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va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