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wgvry06x1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Blue Heron Medical Pavilion – Build-Out &amp; Takeout Loan Proposal (Healthcare Facility)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Broker Word Doc (Unformatted Draft / Mixed Bullets)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Borrower:</w:t>
        <w:br w:type="textWrapping"/>
      </w:r>
      <w:r w:rsidDel="00000000" w:rsidR="00000000" w:rsidRPr="00000000">
        <w:rPr>
          <w:rtl w:val="0"/>
        </w:rPr>
        <w:t xml:space="preserve"> Healthcare Development Group LLC (HDG)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Project:</w:t>
        <w:br w:type="textWrapping"/>
      </w:r>
      <w:r w:rsidDel="00000000" w:rsidR="00000000" w:rsidRPr="00000000">
        <w:rPr>
          <w:rtl w:val="0"/>
        </w:rPr>
        <w:t xml:space="preserve"> New 3-story 72,000 SF outpatient medical pavilion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  <w:br w:type="textWrapping"/>
      </w:r>
      <w:r w:rsidDel="00000000" w:rsidR="00000000" w:rsidRPr="00000000">
        <w:rPr>
          <w:rtl w:val="0"/>
        </w:rPr>
        <w:t xml:space="preserve"> Raleigh, NC (Wake County)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  <w:br w:type="textWrapping"/>
      </w:r>
      <w:r w:rsidDel="00000000" w:rsidR="00000000" w:rsidRPr="00000000">
        <w:rPr>
          <w:rtl w:val="0"/>
        </w:rPr>
        <w:t xml:space="preserve"> The borrower requests </w:t>
      </w:r>
      <w:r w:rsidDel="00000000" w:rsidR="00000000" w:rsidRPr="00000000">
        <w:rPr>
          <w:b w:val="1"/>
          <w:rtl w:val="0"/>
        </w:rPr>
        <w:t xml:space="preserve">$32.8MM construction + takeout facility</w:t>
      </w:r>
      <w:r w:rsidDel="00000000" w:rsidR="00000000" w:rsidRPr="00000000">
        <w:rPr>
          <w:rtl w:val="0"/>
        </w:rPr>
        <w:t xml:space="preserve"> for the proposed Blue Heron Medical Pavilion. The sponsor claims 58 % of GLA pre-leased (anchor = Raleigh Radiology). Lease term sheet unsigned.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Stack (Broker table w/ typos)</w:t>
      </w:r>
    </w:p>
    <w:tbl>
      <w:tblPr>
        <w:tblStyle w:val="Table1"/>
        <w:tblW w:w="6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070"/>
        <w:gridCol w:w="590"/>
        <w:gridCol w:w="2930"/>
        <w:tblGridChange w:id="0">
          <w:tblGrid>
            <w:gridCol w:w="1715"/>
            <w:gridCol w:w="1070"/>
            <w:gridCol w:w="590"/>
            <w:gridCol w:w="2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Senior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32.8M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requested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Sponsor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8.2M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“land + cash” (no appraisal)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41.0M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Metrics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cost:</w:t>
      </w:r>
      <w:r w:rsidDel="00000000" w:rsidR="00000000" w:rsidRPr="00000000">
        <w:rPr>
          <w:rtl w:val="0"/>
        </w:rPr>
        <w:t xml:space="preserve"> $36.5MM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cost:</w:t>
      </w:r>
      <w:r w:rsidDel="00000000" w:rsidR="00000000" w:rsidRPr="00000000">
        <w:rPr>
          <w:rtl w:val="0"/>
        </w:rPr>
        <w:t xml:space="preserve"> $4.0MM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 value:</w:t>
      </w:r>
      <w:r w:rsidDel="00000000" w:rsidR="00000000" w:rsidRPr="00000000">
        <w:rPr>
          <w:rtl w:val="0"/>
        </w:rPr>
        <w:t xml:space="preserve"> $3.5MM (unverified)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Stabilized NOI:</w:t>
      </w:r>
      <w:r w:rsidDel="00000000" w:rsidR="00000000" w:rsidRPr="00000000">
        <w:rPr>
          <w:rtl w:val="0"/>
        </w:rPr>
        <w:t xml:space="preserve"> $2.35MM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 rate:</w:t>
      </w:r>
      <w:r w:rsidDel="00000000" w:rsidR="00000000" w:rsidRPr="00000000">
        <w:rPr>
          <w:rtl w:val="0"/>
        </w:rPr>
        <w:t xml:space="preserve"> 5.5 % (“per CBRE”)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constant: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6.9 % → DSCR ≈ 0.95× → 1.08×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 (levered):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9 %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Narrative Observations (scattered sentences)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TI/LC budget $38 psf vs. market $60 – 70 psf.</w:t>
        <w:br w:type="textWrapping"/>
        <w:t xml:space="preserve"> • Lease-up assumption 10 months → optimistic.</w:t>
        <w:br w:type="textWrapping"/>
        <w:t xml:space="preserve"> • Raleigh Radiology LOI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executed; other tenant pipeline “strong interest” (broker quote).</w:t>
        <w:br w:type="textWrapping"/>
        <w:t xml:space="preserve"> • Cost escalation contingency only 4 %.</w:t>
        <w:br w:type="textWrapping"/>
        <w:t xml:space="preserve"> • No construction GMP yet; contractor not fixed.</w:t>
        <w:br w:type="textWrapping"/>
        <w:t xml:space="preserve"> • Debt yield 6.9 % on stabilized → well below lender minimum 8 %.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Excerpt – Broker Email (OCR noise)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“all tenants pay NNN so op ex minimal maybe 8.00 psf total??”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“Developer expctes perm loan post C/O = 27MM @ 5.25% fixed 25yr (we’ll refi u later).”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Takeaway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Unverified leases, underfunded TIs, weak contingency, and below-market debt yield. Recommend decline or require ≥ 30 % equity and signed pre-leases prior to close.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