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e18jx9gzlc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Proposal Memo: VoltLink Logistics — EV Fleet Optimization Pilot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March 12,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VoltLink Logistics Inc.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Michael Reyes, Head of Strategy (m.reyes@voltlink.ai)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3pvio4gtxc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VoltLink Logistics seeks a </w:t>
      </w:r>
      <w:r w:rsidDel="00000000" w:rsidR="00000000" w:rsidRPr="00000000">
        <w:rPr>
          <w:b w:val="1"/>
          <w:rtl w:val="0"/>
        </w:rPr>
        <w:t xml:space="preserve">$750,000 strategic investment</w:t>
      </w:r>
      <w:r w:rsidDel="00000000" w:rsidR="00000000" w:rsidRPr="00000000">
        <w:rPr>
          <w:rtl w:val="0"/>
        </w:rPr>
        <w:t xml:space="preserve"> to fund a 12-month pilot program designed to demonstrate cost reductions and fleet-wide emissions tracking for medium-sized delivery operators.</w:t>
        <w:br w:type="textWrapping"/>
        <w:t xml:space="preserve"> The company’s proprietary </w:t>
      </w:r>
      <w:r w:rsidDel="00000000" w:rsidR="00000000" w:rsidRPr="00000000">
        <w:rPr>
          <w:i w:val="1"/>
          <w:rtl w:val="0"/>
        </w:rPr>
        <w:t xml:space="preserve">RouteOS</w:t>
      </w:r>
      <w:r w:rsidDel="00000000" w:rsidR="00000000" w:rsidRPr="00000000">
        <w:rPr>
          <w:rtl w:val="0"/>
        </w:rPr>
        <w:t xml:space="preserve"> platform combines telematics data, predictive maintenance, and smart-charging coordination across EV fleets.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pilot will focus on </w:t>
      </w:r>
      <w:r w:rsidDel="00000000" w:rsidR="00000000" w:rsidRPr="00000000">
        <w:rPr>
          <w:b w:val="1"/>
          <w:rtl w:val="0"/>
        </w:rPr>
        <w:t xml:space="preserve">15 vehicles operated by Metro Delivery Group (MDG)</w:t>
      </w:r>
      <w:r w:rsidDel="00000000" w:rsidR="00000000" w:rsidRPr="00000000">
        <w:rPr>
          <w:rtl w:val="0"/>
        </w:rPr>
        <w:t xml:space="preserve"> in Chicago. Early simulations show potential for </w:t>
      </w:r>
      <w:r w:rsidDel="00000000" w:rsidR="00000000" w:rsidRPr="00000000">
        <w:rPr>
          <w:b w:val="1"/>
          <w:rtl w:val="0"/>
        </w:rPr>
        <w:t xml:space="preserve">20 % fuel-equivalent savings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30 % downtime reduction</w:t>
      </w:r>
      <w:r w:rsidDel="00000000" w:rsidR="00000000" w:rsidRPr="00000000">
        <w:rPr>
          <w:rtl w:val="0"/>
        </w:rPr>
        <w:t xml:space="preserve"> versus unmanaged charging.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t66y6lgrji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 adoption in logistics has accelerated, but cost savings are inconsistent.</w:t>
        <w:br w:type="textWrapping"/>
        <w:t xml:space="preserve"> Operators cite three major barriers: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Uncoordinated Charging:</w:t>
      </w:r>
      <w:r w:rsidDel="00000000" w:rsidR="00000000" w:rsidRPr="00000000">
        <w:rPr>
          <w:rtl w:val="0"/>
        </w:rPr>
        <w:t xml:space="preserve"> drivers rely on public fast chargers, causing queue delays and demand-charge penalties.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Maintenance Oversight:</w:t>
      </w:r>
      <w:r w:rsidDel="00000000" w:rsidR="00000000" w:rsidRPr="00000000">
        <w:rPr>
          <w:rtl w:val="0"/>
        </w:rPr>
        <w:t xml:space="preserve"> disconnected diagnostic data leads to preventable component failures.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Fragmented Reporting:</w:t>
      </w:r>
      <w:r w:rsidDel="00000000" w:rsidR="00000000" w:rsidRPr="00000000">
        <w:rPr>
          <w:rtl w:val="0"/>
        </w:rPr>
        <w:t xml:space="preserve"> ESG data for investors and regulators must be compiled manually across systems.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VoltLink’s RouteOS addresses these gaps through integrated scheduling, maintenance alerts, and unified analytics dashboards.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sfeim4r40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Pilot Plan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VoltLink hardware gateway to 15 vehicles and 2 depots.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with MDG’s dispatch software via API.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controlled test for 6 months, expand to full year pending milestones.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Milestones &amp; Funding Allocation:</w:t>
      </w:r>
    </w:p>
    <w:tbl>
      <w:tblPr>
        <w:tblStyle w:val="Table1"/>
        <w:tblW w:w="10515.0" w:type="dxa"/>
        <w:jc w:val="left"/>
        <w:tblInd w:w="-7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700"/>
        <w:gridCol w:w="1365"/>
        <w:gridCol w:w="4110"/>
        <w:tblGridChange w:id="0">
          <w:tblGrid>
            <w:gridCol w:w="2340"/>
            <w:gridCol w:w="2700"/>
            <w:gridCol w:w="1365"/>
            <w:gridCol w:w="411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 ($)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System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Apr–May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150 000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Gateway installation, API connection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Pilot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Jun–Nov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400 000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Live telemetry, analytics dashboard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Reporting &amp; Scale-Up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Dec 2025–Mar 2026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200 000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ESG reports, ROI validation, final recommendation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Total Pilot Cost: </w:t>
      </w:r>
      <w:r w:rsidDel="00000000" w:rsidR="00000000" w:rsidRPr="00000000">
        <w:rPr>
          <w:b w:val="1"/>
          <w:rtl w:val="0"/>
        </w:rPr>
        <w:t xml:space="preserve">$750 000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3q30heritt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Projected Outcomes</w:t>
      </w:r>
    </w:p>
    <w:tbl>
      <w:tblPr>
        <w:tblStyle w:val="Table2"/>
        <w:tblW w:w="10230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65"/>
        <w:gridCol w:w="1455"/>
        <w:gridCol w:w="900"/>
        <w:gridCol w:w="4410"/>
        <w:tblGridChange w:id="0">
          <w:tblGrid>
            <w:gridCol w:w="3465"/>
            <w:gridCol w:w="1455"/>
            <w:gridCol w:w="900"/>
            <w:gridCol w:w="44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Downtime (hrs/vehicle/month)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14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10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Predictive maintenance scheduling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Energy Cost / 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$0.26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$0.21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Smart-charging optimization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Fleet Utilization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78 %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85 %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Real-time route coordination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Annualized CO₂ Reduction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320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Verified third-party measurement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ROI Estimate:</w:t>
      </w:r>
      <w:r w:rsidDel="00000000" w:rsidR="00000000" w:rsidRPr="00000000">
        <w:rPr>
          <w:rtl w:val="0"/>
        </w:rPr>
        <w:t xml:space="preserve"> 14 % in first year post-deployment, expanding to 30 % with full fleet rollout.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Break-Even:</w:t>
      </w:r>
      <w:r w:rsidDel="00000000" w:rsidR="00000000" w:rsidRPr="00000000">
        <w:rPr>
          <w:rtl w:val="0"/>
        </w:rPr>
        <w:t xml:space="preserve"> ~22 months assuming 150-vehicle scale.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vj0fw7dfey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Investment Structure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VoltLink proposes a </w:t>
      </w:r>
      <w:r w:rsidDel="00000000" w:rsidR="00000000" w:rsidRPr="00000000">
        <w:rPr>
          <w:b w:val="1"/>
          <w:rtl w:val="0"/>
        </w:rPr>
        <w:t xml:space="preserve">convertible note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20 % discount</w:t>
      </w:r>
      <w:r w:rsidDel="00000000" w:rsidR="00000000" w:rsidRPr="00000000">
        <w:rPr>
          <w:rtl w:val="0"/>
        </w:rPr>
        <w:t xml:space="preserve"> on the next priced round, 24-month maturity, and 6 % interest.</w:t>
        <w:br w:type="textWrapping"/>
        <w:t xml:space="preserve"> Funds will be used exclusively for pilot operations and data platform scaling.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company’s current cap table comprises founders (62 %), early angels (18 %), and strategic EV-OEM investors (20 %).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gtu4ba0hv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Risks &amp; Mitigations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Adoption risk:</w:t>
      </w:r>
      <w:r w:rsidDel="00000000" w:rsidR="00000000" w:rsidRPr="00000000">
        <w:rPr>
          <w:rtl w:val="0"/>
        </w:rPr>
        <w:t xml:space="preserve"> mitigated by existing MDG partnership and OEM backing.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 reliability:</w:t>
      </w:r>
      <w:r w:rsidDel="00000000" w:rsidR="00000000" w:rsidRPr="00000000">
        <w:rPr>
          <w:rtl w:val="0"/>
        </w:rPr>
        <w:t xml:space="preserve"> mitigated through redundancy testing and SLA-bound supplier contracts.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Capital intensity:</w:t>
      </w:r>
      <w:r w:rsidDel="00000000" w:rsidR="00000000" w:rsidRPr="00000000">
        <w:rPr>
          <w:rtl w:val="0"/>
        </w:rPr>
        <w:t xml:space="preserve"> mitigated by SaaS-based recurring revenue post-pilot.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isqq21qzjit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VoltLink’s approach to integrated EV-fleet optimization has near-term validation potential and strong ESG positioning.</w:t>
        <w:br w:type="textWrapping"/>
        <w:t xml:space="preserve"> While capital needs are moderate, the pilot’s scale relative to total addressable market (TAM $3.4 B) suggests high strategic leverage.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