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y7u7apkqpusa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Q2 Investor Update: CircuitFlow Analytics Inc.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July 15, 2025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Prepared by:</w:t>
      </w:r>
      <w:r w:rsidDel="00000000" w:rsidR="00000000" w:rsidRPr="00000000">
        <w:rPr>
          <w:rtl w:val="0"/>
        </w:rPr>
        <w:t xml:space="preserve"> Investor Relations (ir@circuitflow.ai)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Audience:</w:t>
      </w:r>
      <w:r w:rsidDel="00000000" w:rsidR="00000000" w:rsidRPr="00000000">
        <w:rPr>
          <w:rtl w:val="0"/>
        </w:rPr>
        <w:t xml:space="preserve"> Seed &amp; Series A shareholders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1ykhsuh9dqo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1) Executive Summary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CircuitFlow delivers grid analytics and anomaly detection for distributed energy resources (DERs).</w:t>
        <w:br w:type="textWrapping"/>
        <w:t xml:space="preserve"> Q2 performance reflects </w:t>
      </w:r>
      <w:r w:rsidDel="00000000" w:rsidR="00000000" w:rsidRPr="00000000">
        <w:rPr>
          <w:b w:val="1"/>
          <w:rtl w:val="0"/>
        </w:rPr>
        <w:t xml:space="preserve">solid customer growth</w:t>
      </w:r>
      <w:r w:rsidDel="00000000" w:rsidR="00000000" w:rsidRPr="00000000">
        <w:rPr>
          <w:rtl w:val="0"/>
        </w:rPr>
        <w:t xml:space="preserve"> but </w:t>
      </w:r>
      <w:r w:rsidDel="00000000" w:rsidR="00000000" w:rsidRPr="00000000">
        <w:rPr>
          <w:b w:val="1"/>
          <w:rtl w:val="0"/>
        </w:rPr>
        <w:t xml:space="preserve">pressure on gross margin</w:t>
      </w:r>
      <w:r w:rsidDel="00000000" w:rsidR="00000000" w:rsidRPr="00000000">
        <w:rPr>
          <w:rtl w:val="0"/>
        </w:rPr>
        <w:t xml:space="preserve"> due to higher cloud costs and extended onboarding cycles for two enterprise accounts.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ARR: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$5.6M</w:t>
      </w:r>
      <w:r w:rsidDel="00000000" w:rsidR="00000000" w:rsidRPr="00000000">
        <w:rPr>
          <w:rtl w:val="0"/>
        </w:rPr>
        <w:t xml:space="preserve"> (+18% QoQ)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Gross Margin: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67%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(−5 pp QoQ)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Net Dollar Retention (NDR):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112%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Cash on Hand: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$7.1M</w:t>
      </w:r>
      <w:r w:rsidDel="00000000" w:rsidR="00000000" w:rsidRPr="00000000">
        <w:rPr>
          <w:rtl w:val="0"/>
        </w:rPr>
        <w:t xml:space="preserve"> (runway ~9.2 months at current burn)</w:t>
        <w:br w:type="textWrapping"/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Net: Momentum intact; economics need tuning in H2 (cloud usage, implementation efficiency).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hm1v7vvdq5s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2) KPI Dashboard (Q2 vs. Q1)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16.3937719738824"/>
        <w:gridCol w:w="949.633350075339"/>
        <w:gridCol w:w="949.633350075339"/>
        <w:gridCol w:w="907.3229532898041"/>
        <w:gridCol w:w="4137.016574585636"/>
        <w:tblGridChange w:id="0">
          <w:tblGrid>
            <w:gridCol w:w="2416.3937719738824"/>
            <w:gridCol w:w="949.633350075339"/>
            <w:gridCol w:w="949.633350075339"/>
            <w:gridCol w:w="907.3229532898041"/>
            <w:gridCol w:w="4137.016574585636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Metric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Q1 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Q2 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Δ QoQ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ARR ($M)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4.75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5.60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+18%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7 enterprise expansions; 12 mid-market adds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Gross Margin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72%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67%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−5 pp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Cloud inference load + data egress spikes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CAC Payback (months)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14.2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13.5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+0.7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Better win-rate offsets higher media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NDR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109%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112%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+3 pp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Upgrades to “Ops+” module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Churn (logo)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3.4%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3.1%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−0.3 pp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2 at-risk accounts saved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Avg. Implementation Days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54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+9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Two complex utilities (AMIs + OT security reviews)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Burn ($M/month)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0.82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0.77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−0.05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Hiring freeze + vendor re-bids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Cash ($M)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6.8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7.1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+0.3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Receivables timing, lower capex</w:t>
            </w:r>
          </w:p>
        </w:tc>
      </w:tr>
    </w:tbl>
    <w:p w:rsidR="00000000" w:rsidDel="00000000" w:rsidP="00000000" w:rsidRDefault="00000000" w:rsidRPr="00000000" w14:paraId="0000003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p50dinlagx6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3) Commercial Highlights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Enterprise Wins:</w:t>
        <w:br w:type="textWrapping"/>
      </w:r>
    </w:p>
    <w:p w:rsidR="00000000" w:rsidDel="00000000" w:rsidP="00000000" w:rsidRDefault="00000000" w:rsidRPr="00000000" w14:paraId="0000003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GridWorks NE</w:t>
      </w:r>
      <w:r w:rsidDel="00000000" w:rsidR="00000000" w:rsidRPr="00000000">
        <w:rPr>
          <w:rtl w:val="0"/>
        </w:rPr>
        <w:t xml:space="preserve"> (3-year, $1.2M TCV) — anomaly detection + outage prediction.</w:t>
        <w:br w:type="textWrapping"/>
      </w:r>
    </w:p>
    <w:p w:rsidR="00000000" w:rsidDel="00000000" w:rsidP="00000000" w:rsidRDefault="00000000" w:rsidRPr="00000000" w14:paraId="0000003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PrairieCo Op</w:t>
      </w:r>
      <w:r w:rsidDel="00000000" w:rsidR="00000000" w:rsidRPr="00000000">
        <w:rPr>
          <w:rtl w:val="0"/>
        </w:rPr>
        <w:t xml:space="preserve"> (2-year, $480k TCV) — DER hosting capacity planning.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Expansions:</w:t>
        <w:br w:type="textWrapping"/>
      </w:r>
    </w:p>
    <w:p w:rsidR="00000000" w:rsidDel="00000000" w:rsidP="00000000" w:rsidRDefault="00000000" w:rsidRPr="00000000" w14:paraId="0000004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BlueMesa Power</w:t>
      </w:r>
      <w:r w:rsidDel="00000000" w:rsidR="00000000" w:rsidRPr="00000000">
        <w:rPr>
          <w:rtl w:val="0"/>
        </w:rPr>
        <w:t xml:space="preserve"> expanded to 11 additional feeders; incremental $310k ARR.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Pipeline:</w:t>
      </w:r>
      <w:r w:rsidDel="00000000" w:rsidR="00000000" w:rsidRPr="00000000">
        <w:rPr>
          <w:rtl w:val="0"/>
        </w:rPr>
        <w:t xml:space="preserve"> $9.7M qualified (9-month weighted cycle); 3 lighthouse prospects in diligence.</w:t>
        <w:br w:type="textWrapping"/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Headwinds:</w:t>
      </w:r>
      <w:r w:rsidDel="00000000" w:rsidR="00000000" w:rsidRPr="00000000">
        <w:rPr>
          <w:rtl w:val="0"/>
        </w:rPr>
        <w:t xml:space="preserve"> procurement security reviews extend onboarding; several prospects require on-prem or private VPC deployment (higher COGS initially).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sb60sy53ncu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4) Product &amp; Tech Update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Model Upgrades:</w:t>
      </w:r>
      <w:r w:rsidDel="00000000" w:rsidR="00000000" w:rsidRPr="00000000">
        <w:rPr>
          <w:rtl w:val="0"/>
        </w:rPr>
        <w:t xml:space="preserve"> v3.2 ensemble improved F1 anomaly score </w:t>
      </w:r>
      <w:r w:rsidDel="00000000" w:rsidR="00000000" w:rsidRPr="00000000">
        <w:rPr>
          <w:b w:val="1"/>
          <w:rtl w:val="0"/>
        </w:rPr>
        <w:t xml:space="preserve">+3.8 pp</w:t>
      </w:r>
      <w:r w:rsidDel="00000000" w:rsidR="00000000" w:rsidRPr="00000000">
        <w:rPr>
          <w:rtl w:val="0"/>
        </w:rPr>
        <w:t xml:space="preserve"> in blind trials.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Latency: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95th percentile inference time reduced from 340ms → </w:t>
      </w:r>
      <w:r w:rsidDel="00000000" w:rsidR="00000000" w:rsidRPr="00000000">
        <w:rPr>
          <w:b w:val="1"/>
          <w:rtl w:val="0"/>
        </w:rPr>
        <w:t xml:space="preserve">210ms</w:t>
      </w:r>
      <w:r w:rsidDel="00000000" w:rsidR="00000000" w:rsidRPr="00000000">
        <w:rPr>
          <w:rtl w:val="0"/>
        </w:rPr>
        <w:t xml:space="preserve"> (new feature store).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Cost Controls:</w:t>
        <w:br w:type="textWrapping"/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Implemented </w:t>
      </w:r>
      <w:r w:rsidDel="00000000" w:rsidR="00000000" w:rsidRPr="00000000">
        <w:rPr>
          <w:b w:val="1"/>
          <w:rtl w:val="0"/>
        </w:rPr>
        <w:t xml:space="preserve">batch aggregation</w:t>
      </w:r>
      <w:r w:rsidDel="00000000" w:rsidR="00000000" w:rsidRPr="00000000">
        <w:rPr>
          <w:rtl w:val="0"/>
        </w:rPr>
        <w:t xml:space="preserve"> for low-priority feeds (projected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−12%</w:t>
      </w:r>
      <w:r w:rsidDel="00000000" w:rsidR="00000000" w:rsidRPr="00000000">
        <w:rPr>
          <w:rtl w:val="0"/>
        </w:rPr>
        <w:t xml:space="preserve"> cloud spend in Q3).</w:t>
        <w:br w:type="textWrapping"/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Egress minimized via regional S3 replication; early results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−18%</w:t>
      </w:r>
      <w:r w:rsidDel="00000000" w:rsidR="00000000" w:rsidRPr="00000000">
        <w:rPr>
          <w:rtl w:val="0"/>
        </w:rPr>
        <w:t xml:space="preserve"> egress fees.</w:t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Roadmap (Q3–Q4):</w:t>
        <w:br w:type="textWrapping"/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“Ops+” ticket automation (ServiceNow app)</w:t>
        <w:br w:type="textWrapping"/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Customer-managed keys (CMK) for regulated utilities</w:t>
        <w:br w:type="textWrapping"/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Forecast explainability (SHAP for day-ahead models)</w:t>
        <w:br w:type="textWrapping"/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cafoj44dte5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5) Financials (Unaudited)</w:t>
      </w:r>
    </w:p>
    <w:tbl>
      <w:tblPr>
        <w:tblStyle w:val="Table2"/>
        <w:tblW w:w="53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60"/>
        <w:gridCol w:w="1070"/>
        <w:gridCol w:w="1070"/>
        <w:gridCol w:w="1100"/>
        <w:tblGridChange w:id="0">
          <w:tblGrid>
            <w:gridCol w:w="2060"/>
            <w:gridCol w:w="1070"/>
            <w:gridCol w:w="1070"/>
            <w:gridCol w:w="110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($M)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Q1 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Q2 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FY YTD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Revenue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1.25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2.77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COGS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0.35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0.50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0.85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Gross Profit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0.90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1.92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Operating Expense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2.46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2.35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4.81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Operating Loss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(1.56)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(1.33)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(2.89)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Ending Cash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6.80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7.10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</w:tbl>
    <w:p w:rsidR="00000000" w:rsidDel="00000000" w:rsidP="00000000" w:rsidRDefault="00000000" w:rsidRPr="00000000" w14:paraId="0000006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Comment:</w:t>
      </w:r>
      <w:r w:rsidDel="00000000" w:rsidR="00000000" w:rsidRPr="00000000">
        <w:rPr>
          <w:rtl w:val="0"/>
        </w:rPr>
        <w:t xml:space="preserve"> Gross margin compression stems from (a) bursty compute for pilot expansions and (b) redundant data copies for regulated customers. We are actively removing duplication.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qally17clgp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6) Risk &amp; Mitigation</w:t>
      </w:r>
    </w:p>
    <w:p w:rsidR="00000000" w:rsidDel="00000000" w:rsidP="00000000" w:rsidRDefault="00000000" w:rsidRPr="00000000" w14:paraId="0000006F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Gross Margin Pressure</w:t>
        <w:br w:type="textWrapping"/>
      </w:r>
    </w:p>
    <w:p w:rsidR="00000000" w:rsidDel="00000000" w:rsidP="00000000" w:rsidRDefault="00000000" w:rsidRPr="00000000" w14:paraId="0000007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Mitigation:</w:t>
      </w:r>
      <w:r w:rsidDel="00000000" w:rsidR="00000000" w:rsidRPr="00000000">
        <w:rPr>
          <w:rtl w:val="0"/>
        </w:rPr>
        <w:t xml:space="preserve"> Cloud-finops, committed use discounts renegotiated; batch processing; VPC peering to reduce egress.</w:t>
        <w:br w:type="textWrapping"/>
      </w:r>
    </w:p>
    <w:p w:rsidR="00000000" w:rsidDel="00000000" w:rsidP="00000000" w:rsidRDefault="00000000" w:rsidRPr="00000000" w14:paraId="0000007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Implementation Slippage</w:t>
        <w:br w:type="textWrapping"/>
      </w:r>
    </w:p>
    <w:p w:rsidR="00000000" w:rsidDel="00000000" w:rsidP="00000000" w:rsidRDefault="00000000" w:rsidRPr="00000000" w14:paraId="0000007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Mitigation:</w:t>
      </w:r>
      <w:r w:rsidDel="00000000" w:rsidR="00000000" w:rsidRPr="00000000">
        <w:rPr>
          <w:rtl w:val="0"/>
        </w:rPr>
        <w:t xml:space="preserve"> Create a standardized </w:t>
      </w:r>
      <w:r w:rsidDel="00000000" w:rsidR="00000000" w:rsidRPr="00000000">
        <w:rPr>
          <w:b w:val="1"/>
          <w:rtl w:val="0"/>
        </w:rPr>
        <w:t xml:space="preserve">90-day onboarding</w:t>
      </w:r>
      <w:r w:rsidDel="00000000" w:rsidR="00000000" w:rsidRPr="00000000">
        <w:rPr>
          <w:rtl w:val="0"/>
        </w:rPr>
        <w:t xml:space="preserve"> playbook; add 2 contractor squads for “surge” periods (variable cost).</w:t>
        <w:br w:type="textWrapping"/>
      </w:r>
    </w:p>
    <w:p w:rsidR="00000000" w:rsidDel="00000000" w:rsidP="00000000" w:rsidRDefault="00000000" w:rsidRPr="00000000" w14:paraId="0000007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Security/Compliance Lift</w:t>
        <w:br w:type="textWrapping"/>
      </w:r>
    </w:p>
    <w:p w:rsidR="00000000" w:rsidDel="00000000" w:rsidP="00000000" w:rsidRDefault="00000000" w:rsidRPr="00000000" w14:paraId="00000074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Mitigation:</w:t>
      </w:r>
      <w:r w:rsidDel="00000000" w:rsidR="00000000" w:rsidRPr="00000000">
        <w:rPr>
          <w:rtl w:val="0"/>
        </w:rPr>
        <w:t xml:space="preserve"> CMK + private VPC reference architecture; SOC2 Type II renewal underway (Oct).</w:t>
        <w:br w:type="textWrapping"/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1yfbhvopskl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7) Outlook (H2 2025)</w:t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Target </w:t>
      </w:r>
      <w:r w:rsidDel="00000000" w:rsidR="00000000" w:rsidRPr="00000000">
        <w:rPr>
          <w:b w:val="1"/>
          <w:rtl w:val="0"/>
        </w:rPr>
        <w:t xml:space="preserve">ARR $7.2–7.6M</w:t>
      </w:r>
      <w:r w:rsidDel="00000000" w:rsidR="00000000" w:rsidRPr="00000000">
        <w:rPr>
          <w:rtl w:val="0"/>
        </w:rPr>
        <w:t xml:space="preserve"> by year-end; return gross margin to </w:t>
      </w:r>
      <w:r w:rsidDel="00000000" w:rsidR="00000000" w:rsidRPr="00000000">
        <w:rPr>
          <w:b w:val="1"/>
          <w:rtl w:val="0"/>
        </w:rPr>
        <w:t xml:space="preserve">70–72%</w:t>
      </w:r>
      <w:r w:rsidDel="00000000" w:rsidR="00000000" w:rsidRPr="00000000">
        <w:rPr>
          <w:rtl w:val="0"/>
        </w:rPr>
        <w:t xml:space="preserve"> with finops + architecture changes.</w:t>
        <w:br w:type="textWrapping"/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Expand Ops+ to 50% of enterprise accounts; reduce average implementation to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≤50 days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Maintain burn at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≤$0.8M/mo</w:t>
      </w:r>
      <w:r w:rsidDel="00000000" w:rsidR="00000000" w:rsidRPr="00000000">
        <w:rPr>
          <w:rtl w:val="0"/>
        </w:rPr>
        <w:t xml:space="preserve">; extend runway to </w:t>
      </w:r>
      <w:r w:rsidDel="00000000" w:rsidR="00000000" w:rsidRPr="00000000">
        <w:rPr>
          <w:b w:val="1"/>
          <w:rtl w:val="0"/>
        </w:rPr>
        <w:t xml:space="preserve">~11 months</w:t>
      </w:r>
      <w:r w:rsidDel="00000000" w:rsidR="00000000" w:rsidRPr="00000000">
        <w:rPr>
          <w:rtl w:val="0"/>
        </w:rPr>
        <w:t xml:space="preserve"> via billing cadence &amp; pre-paid discounts.</w:t>
        <w:br w:type="textWrapping"/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mbhv76wo3cc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8) Requests / Board Items</w:t>
      </w:r>
    </w:p>
    <w:p w:rsidR="00000000" w:rsidDel="00000000" w:rsidP="00000000" w:rsidRDefault="00000000" w:rsidRPr="00000000" w14:paraId="0000007C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Approve </w:t>
      </w:r>
      <w:r w:rsidDel="00000000" w:rsidR="00000000" w:rsidRPr="00000000">
        <w:rPr>
          <w:b w:val="1"/>
          <w:rtl w:val="0"/>
        </w:rPr>
        <w:t xml:space="preserve">vendor consolidation</w:t>
      </w:r>
      <w:r w:rsidDel="00000000" w:rsidR="00000000" w:rsidRPr="00000000">
        <w:rPr>
          <w:rtl w:val="0"/>
        </w:rPr>
        <w:t xml:space="preserve"> plan (cloud + MLOps) to secure </w:t>
      </w:r>
      <w:r w:rsidDel="00000000" w:rsidR="00000000" w:rsidRPr="00000000">
        <w:rPr>
          <w:b w:val="1"/>
          <w:rtl w:val="0"/>
        </w:rPr>
        <w:t xml:space="preserve">12–18%</w:t>
      </w:r>
      <w:r w:rsidDel="00000000" w:rsidR="00000000" w:rsidRPr="00000000">
        <w:rPr>
          <w:rtl w:val="0"/>
        </w:rPr>
        <w:t xml:space="preserve"> savings.</w:t>
        <w:br w:type="textWrapping"/>
      </w:r>
    </w:p>
    <w:p w:rsidR="00000000" w:rsidDel="00000000" w:rsidP="00000000" w:rsidRDefault="00000000" w:rsidRPr="00000000" w14:paraId="0000007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Endorse the </w:t>
      </w:r>
      <w:r w:rsidDel="00000000" w:rsidR="00000000" w:rsidRPr="00000000">
        <w:rPr>
          <w:b w:val="1"/>
          <w:rtl w:val="0"/>
        </w:rPr>
        <w:t xml:space="preserve">on-prem private-VPC SKU</w:t>
      </w:r>
      <w:r w:rsidDel="00000000" w:rsidR="00000000" w:rsidRPr="00000000">
        <w:rPr>
          <w:rtl w:val="0"/>
        </w:rPr>
        <w:t xml:space="preserve"> pricing (20% premium to cloud).</w:t>
        <w:br w:type="textWrapping"/>
      </w:r>
    </w:p>
    <w:p w:rsidR="00000000" w:rsidDel="00000000" w:rsidP="00000000" w:rsidRDefault="00000000" w:rsidRPr="00000000" w14:paraId="0000007E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Authorize </w:t>
      </w:r>
      <w:r w:rsidDel="00000000" w:rsidR="00000000" w:rsidRPr="00000000">
        <w:rPr>
          <w:b w:val="1"/>
          <w:rtl w:val="0"/>
        </w:rPr>
        <w:t xml:space="preserve">two contingent contractor teams</w:t>
      </w:r>
      <w:r w:rsidDel="00000000" w:rsidR="00000000" w:rsidRPr="00000000">
        <w:rPr>
          <w:rtl w:val="0"/>
        </w:rPr>
        <w:t xml:space="preserve"> for Q3–Q4 surge onboarding (cap at $240k total).</w:t>
        <w:br w:type="textWrapping"/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f1lnmmfwzg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9) Appendix — Customer Notes (Selected)</w:t>
      </w:r>
    </w:p>
    <w:p w:rsidR="00000000" w:rsidDel="00000000" w:rsidP="00000000" w:rsidRDefault="00000000" w:rsidRPr="00000000" w14:paraId="00000081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GridWorks NE:</w:t>
      </w:r>
      <w:r w:rsidDel="00000000" w:rsidR="00000000" w:rsidRPr="00000000">
        <w:rPr>
          <w:rtl w:val="0"/>
        </w:rPr>
        <w:t xml:space="preserve"> positive reference; keen on ticket automation pilot (Q4).</w:t>
        <w:br w:type="textWrapping"/>
      </w:r>
    </w:p>
    <w:p w:rsidR="00000000" w:rsidDel="00000000" w:rsidP="00000000" w:rsidRDefault="00000000" w:rsidRPr="00000000" w14:paraId="0000008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PrairieCo Op:</w:t>
      </w:r>
      <w:r w:rsidDel="00000000" w:rsidR="00000000" w:rsidRPr="00000000">
        <w:rPr>
          <w:rtl w:val="0"/>
        </w:rPr>
        <w:t xml:space="preserve"> security diligence strict but cooperative; CMK a must.</w:t>
        <w:br w:type="textWrapping"/>
      </w:r>
    </w:p>
    <w:p w:rsidR="00000000" w:rsidDel="00000000" w:rsidP="00000000" w:rsidRDefault="00000000" w:rsidRPr="00000000" w14:paraId="00000083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BlueMesa Power: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expansion driven by outage prediction accuracy (false positives −24%).</w:t>
        <w:br w:type="textWrapping"/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  <w:style w:type="table" w:styleId="Table2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