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ktfqbvxcua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Customer Feedback Summary: PowerSpan Monitoring Platform Q2 2025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Lena Morales, Head of Customer Success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July 10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Recipients:</w:t>
      </w:r>
      <w:r w:rsidDel="00000000" w:rsidR="00000000" w:rsidRPr="00000000">
        <w:rPr>
          <w:rtl w:val="0"/>
        </w:rPr>
        <w:t xml:space="preserve"> Executive Leadership Team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5tmhcrmhq6y" w:id="1"/>
      <w:bookmarkEnd w:id="1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1️⃣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 Q2 2025 we surveyed </w:t>
      </w:r>
      <w:r w:rsidDel="00000000" w:rsidR="00000000" w:rsidRPr="00000000">
        <w:rPr>
          <w:b w:val="1"/>
          <w:rtl w:val="0"/>
        </w:rPr>
        <w:t xml:space="preserve">64 active enterprise accounts</w:t>
      </w:r>
      <w:r w:rsidDel="00000000" w:rsidR="00000000" w:rsidRPr="00000000">
        <w:rPr>
          <w:rtl w:val="0"/>
        </w:rPr>
        <w:t xml:space="preserve"> (81 % response rate) using the Net Promoter Score (NPS) framework and qualitative interviews.</w:t>
        <w:br w:type="textWrapping"/>
        <w:t xml:space="preserve"> Headline results appear stable but mask emerging service and usability concerns.</w:t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4.4166249374066"/>
        <w:gridCol w:w="960.8412618928394"/>
        <w:gridCol w:w="960.8412618928394"/>
        <w:gridCol w:w="876.4747120681022"/>
        <w:gridCol w:w="3857.4261392088138"/>
        <w:tblGridChange w:id="0">
          <w:tblGrid>
            <w:gridCol w:w="2704.4166249374066"/>
            <w:gridCol w:w="960.8412618928394"/>
            <w:gridCol w:w="960.8412618928394"/>
            <w:gridCol w:w="876.4747120681022"/>
            <w:gridCol w:w="3857.426139208813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Q1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Q2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Δ QoQ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NPS (score −100 to 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Small decline driven by mid-market segment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CSAT (1-5 scale)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 and reporting issues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Renewal Intent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Mostly mid-tier utilities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Support Tickets / Account / 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+0.6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Spike post-v3.4 update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gi580ftrccg" w:id="2"/>
      <w:bookmarkEnd w:id="2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2️⃣ Positive Themes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Reliability:</w:t>
      </w:r>
      <w:r w:rsidDel="00000000" w:rsidR="00000000" w:rsidRPr="00000000">
        <w:rPr>
          <w:rtl w:val="0"/>
        </w:rPr>
        <w:t xml:space="preserve"> Customers continue to praise PowerSpan’s real-time accuracy and data uptime (&gt; 99.8 %).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Management:</w:t>
      </w:r>
      <w:r w:rsidDel="00000000" w:rsidR="00000000" w:rsidRPr="00000000">
        <w:rPr>
          <w:rtl w:val="0"/>
        </w:rPr>
        <w:t xml:space="preserve"> Several accounts commended the responsiveness of regional CSMs.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Customization:</w:t>
      </w:r>
      <w:r w:rsidDel="00000000" w:rsidR="00000000" w:rsidRPr="00000000">
        <w:rPr>
          <w:rtl w:val="0"/>
        </w:rPr>
        <w:t xml:space="preserve"> New dashboard filters (launched April) received good adoption from enterprise clients.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“Still the most accurate data feed in the market. When it works, it’s fantastic.” — Utility Customer, Midwest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5cx3af86axk" w:id="3"/>
      <w:bookmarkEnd w:id="3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3️⃣ Negative Themes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Implementation Complexity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Average go-live time rose from 41 → 53 days post v3.4 update.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Customers cite unclear network configuration guides.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User Interface Fatigue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12 accounts requested “dark mode” or simplified layout; comments describe UI as “cluttered.”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portal still missing analytics widgets present on desktop.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Support Escalation Delays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Median response time up to 9 h ( target ≤ 6 h 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cause: CS team attrition (2 reps left in May).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d. Pricing Frustration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 enterprise accounts flagged year-two renewal uplifts (+11 %) as “surprise charges.”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accounts threatened to evaluate competitors.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“Great platform, but the renewal felt like a bait-and-switch.” — Regional Aggregator Client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nvjta8b8p5" w:id="4"/>
      <w:bookmarkEnd w:id="4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4️⃣ Churn Analysis</w:t>
      </w:r>
    </w:p>
    <w:tbl>
      <w:tblPr>
        <w:tblStyle w:val="Table2"/>
        <w:tblW w:w="7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0"/>
        <w:gridCol w:w="1175"/>
        <w:gridCol w:w="1235"/>
        <w:gridCol w:w="2510"/>
        <w:tblGridChange w:id="0">
          <w:tblGrid>
            <w:gridCol w:w="2240"/>
            <w:gridCol w:w="1175"/>
            <w:gridCol w:w="1235"/>
            <w:gridCol w:w="25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Lost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Mid-Market Utilities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3 (11.5 %)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Pricing / support delays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Enterprise Utilities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Industrial Clients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 (6.2 %)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Integration issues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 (6.3 %)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Projected ARR impact ≈ − $340 k annualized (~3 %).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2g73v8ljjo" w:id="5"/>
      <w:bookmarkEnd w:id="5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5️⃣ Recommended Actions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Staffing:</w:t>
      </w:r>
      <w:r w:rsidDel="00000000" w:rsidR="00000000" w:rsidRPr="00000000">
        <w:rPr>
          <w:rtl w:val="0"/>
        </w:rPr>
        <w:t xml:space="preserve"> Hire 3 new CS reps (Q3 budget approved).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Simplification:</w:t>
      </w:r>
      <w:r w:rsidDel="00000000" w:rsidR="00000000" w:rsidRPr="00000000">
        <w:rPr>
          <w:rtl w:val="0"/>
        </w:rPr>
        <w:t xml:space="preserve"> Release revised setup wizard by August 15.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 Transparency:</w:t>
      </w:r>
      <w:r w:rsidDel="00000000" w:rsidR="00000000" w:rsidRPr="00000000">
        <w:rPr>
          <w:rtl w:val="0"/>
        </w:rPr>
        <w:t xml:space="preserve"> Send renewal summary 30 days before invoice.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Refresh:</w:t>
      </w:r>
      <w:r w:rsidDel="00000000" w:rsidR="00000000" w:rsidRPr="00000000">
        <w:rPr>
          <w:rtl w:val="0"/>
        </w:rPr>
        <w:t xml:space="preserve"> Prioritize mobile parity and dark mode in v3.5 roadmap.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mlvt4lg3zv" w:id="6"/>
      <w:bookmarkEnd w:id="6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6️⃣ Summary Outlook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 satisfaction remains above industry median (NPS ≈ 38 vs. sector avg 34).</w:t>
        <w:br w:type="textWrapping"/>
        <w:t xml:space="preserve"> However, renewal pressure from pricing uplifts and support delays could erode trust if not addressed before year-end.</w:t>
        <w:br w:type="textWrapping"/>
        <w:t xml:space="preserve"> Without intervention, we forecast churn rising to ~8 % by Q4.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