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1slmp7bx4p5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Strategic Partnership Term Sheet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Between: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EnviroCharge Inc.</w:t>
      </w:r>
      <w:r w:rsidDel="00000000" w:rsidR="00000000" w:rsidRPr="00000000">
        <w:rPr>
          <w:rtl w:val="0"/>
        </w:rPr>
        <w:t xml:space="preserve"> (“Company”) – developer of modular EV-charging kiosks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and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VoltAxis Networks Ltd.</w:t>
      </w:r>
      <w:r w:rsidDel="00000000" w:rsidR="00000000" w:rsidRPr="00000000">
        <w:rPr>
          <w:rtl w:val="0"/>
        </w:rPr>
        <w:t xml:space="preserve"> (“Partner”) – operator of commercial parking infrastructure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November 14 2025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1bw9jc64wk1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 Purpose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non-binding term sheet outlines the principal terms of a proposed </w:t>
      </w:r>
      <w:r w:rsidDel="00000000" w:rsidR="00000000" w:rsidRPr="00000000">
        <w:rPr>
          <w:b w:val="1"/>
          <w:rtl w:val="0"/>
        </w:rPr>
        <w:t xml:space="preserve">strategic partnership</w:t>
      </w:r>
      <w:r w:rsidDel="00000000" w:rsidR="00000000" w:rsidRPr="00000000">
        <w:rPr>
          <w:rtl w:val="0"/>
        </w:rPr>
        <w:t xml:space="preserve"> under which VoltAxis will deploy and operate EnviroCharge kiosks at select parking sites across California and Nevada.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f4muewingey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 Structure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13.0757014293276"/>
        <w:gridCol w:w="8046.924298570673"/>
        <w:tblGridChange w:id="0">
          <w:tblGrid>
            <w:gridCol w:w="1313.0757014293276"/>
            <w:gridCol w:w="8046.924298570673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Joint Marketing &amp; Revenue-Share Agreement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Pilot Sites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50 locations (30 CA / 20 NV)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Term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5 years + renewal option (3 yrs)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Exclusivity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VoltAxis exclusive within covered sites; EnviroCharge restricted from other partners for 10 mi radius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Branding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“VoltAxis Powered by EnviroCharge” co-label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6owdzo1nstc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 Commercial Terms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88.14352574103"/>
        <w:gridCol w:w="3480.1872074883"/>
        <w:gridCol w:w="2691.6692667706707"/>
        <w:tblGridChange w:id="0">
          <w:tblGrid>
            <w:gridCol w:w="3188.14352574103"/>
            <w:gridCol w:w="3480.1872074883"/>
            <w:gridCol w:w="2691.669266770670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Element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Term /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Capital Cost per Site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$62 000 avg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EnviroCharge funded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VoltAxis Contribution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Site access + power interconnect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No cash outlay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Revenue Share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60 % VoltAxis / 40 % EnviroCharge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Partner-favored split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Payment Terms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Quarterly, net 45 days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Pricing Control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VoltAxis sets end-user tariffs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Removes Company control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Minimum Throughput Guarantee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Revenue risk on Company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Target IRR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11 % (EnviroCharge model)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Below 13 % hurdle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qst07g2ofd3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 Operations &amp; Maintenance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EnviroCharge responsible for hardware warranty, maintenance, and remote monitoring.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VoltAxis to provide site security and signage only.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Uptime target ≥ 96 %; penalties $75 / day / charger &gt; 72 h down.</w:t>
        <w:br w:type="textWrapping"/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Observation:</w:t>
      </w:r>
      <w:r w:rsidDel="00000000" w:rsidR="00000000" w:rsidRPr="00000000">
        <w:rPr>
          <w:rtl w:val="0"/>
        </w:rPr>
        <w:t xml:space="preserve"> Typical penalty equates to &lt; 0.2 % of revenue—weak enforcement.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5a64m5h89gy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 Data &amp; Analytics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VoltAxis retains full ownership of customer and transaction data but will grant EnviroCharge a limited license for operational use only.</w:t>
        <w:br w:type="textWrapping"/>
        <w:t xml:space="preserve"> Data monetization opportunities (advertising, fleet analytics) require mutual consent but </w:t>
      </w:r>
      <w:r w:rsidDel="00000000" w:rsidR="00000000" w:rsidRPr="00000000">
        <w:rPr>
          <w:b w:val="1"/>
          <w:rtl w:val="0"/>
        </w:rPr>
        <w:t xml:space="preserve">VoltAxis holds first-refusal rights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ln1ovebzvh1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 Governance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Joint Steering Committee</w:t>
      </w:r>
      <w:r w:rsidDel="00000000" w:rsidR="00000000" w:rsidRPr="00000000">
        <w:rPr>
          <w:rtl w:val="0"/>
        </w:rPr>
        <w:t xml:space="preserve"> (3 VoltAxis / 2 EnviroCharge) will oversee implementation.</w:t>
        <w:br w:type="textWrapping"/>
        <w:t xml:space="preserve"> Committee meets quarterly; decisions by simple majority.</w:t>
      </w:r>
    </w:p>
    <w:p w:rsidR="00000000" w:rsidDel="00000000" w:rsidP="00000000" w:rsidRDefault="00000000" w:rsidRPr="00000000" w14:paraId="0000003B">
      <w:pPr>
        <w:spacing w:after="240" w:before="240" w:lineRule="auto"/>
        <w:ind w:left="600" w:right="600" w:firstLine="0"/>
        <w:rPr/>
      </w:pPr>
      <w:r w:rsidDel="00000000" w:rsidR="00000000" w:rsidRPr="00000000">
        <w:rPr>
          <w:i w:val="1"/>
          <w:rtl w:val="0"/>
        </w:rPr>
        <w:t xml:space="preserve">Effect:</w:t>
      </w:r>
      <w:r w:rsidDel="00000000" w:rsidR="00000000" w:rsidRPr="00000000">
        <w:rPr>
          <w:rtl w:val="0"/>
        </w:rPr>
        <w:t xml:space="preserve"> EnviroCharge minority vote—limited influence on operational changes.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e5rsgtxy3iv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7 Financial Projections (Pilot Summary)</w:t>
      </w:r>
    </w:p>
    <w:tbl>
      <w:tblPr>
        <w:tblStyle w:val="Table3"/>
        <w:tblW w:w="83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80"/>
        <w:gridCol w:w="890"/>
        <w:gridCol w:w="890"/>
        <w:gridCol w:w="890"/>
        <w:gridCol w:w="2315"/>
        <w:tblGridChange w:id="0">
          <w:tblGrid>
            <w:gridCol w:w="3380"/>
            <w:gridCol w:w="890"/>
            <w:gridCol w:w="890"/>
            <w:gridCol w:w="890"/>
            <w:gridCol w:w="231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Year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Year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Year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Charging Revenue ($ 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3.0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Growth as sites ramp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EnviroCharge Share (40 %)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0.48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0.92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1.20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O&amp;M Expense ($ 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0.55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0.60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0.63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Rising labor &amp; spares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Net Cash to EnviroCharge ($ 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(0.07)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0.32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0.57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First-year loss</w:t>
            </w:r>
          </w:p>
        </w:tc>
      </w:tr>
    </w:tbl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Break-even projected late Year 2; cumulative ROI ≈ 9 % over pilot—below target.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a6vv2228b9d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8 Key Risks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Revenue Concentration:</w:t>
      </w:r>
      <w:r w:rsidDel="00000000" w:rsidR="00000000" w:rsidRPr="00000000">
        <w:rPr>
          <w:rtl w:val="0"/>
        </w:rPr>
        <w:t xml:space="preserve"> 1 partner controls pricing and customer base.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Low IRR:</w:t>
      </w:r>
      <w:r w:rsidDel="00000000" w:rsidR="00000000" w:rsidRPr="00000000">
        <w:rPr>
          <w:rtl w:val="0"/>
        </w:rPr>
        <w:t xml:space="preserve"> capital burden sits with EnviroCharge.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Governance Imbalance:</w:t>
      </w:r>
      <w:r w:rsidDel="00000000" w:rsidR="00000000" w:rsidRPr="00000000">
        <w:rPr>
          <w:rtl w:val="0"/>
        </w:rPr>
        <w:t xml:space="preserve"> steering-committee voting skewed 3:2.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Access Limitations:</w:t>
      </w:r>
      <w:r w:rsidDel="00000000" w:rsidR="00000000" w:rsidRPr="00000000">
        <w:rPr>
          <w:rtl w:val="0"/>
        </w:rPr>
        <w:t xml:space="preserve"> restricts secondary-revenue potential.</w:t>
        <w:br w:type="textWrapping"/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3krak5svnu3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9 Next Steps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Draft long-form agreement by Dec 2025.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Pilot launch Q2 2026 pending Board approval.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Both parties to complete site selection by Jan 15 2026.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