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p35ig1fxnu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Acquisition Memo: GreenArc Energy Acquires SolarFlow Controls Inc.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Corporate Development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3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Confidential — For Internal Use Only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go2cpbo359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Transaction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GreenArc Energy (“GreenArc”) has signed a term sheet to acquire </w:t>
      </w:r>
      <w:r w:rsidDel="00000000" w:rsidR="00000000" w:rsidRPr="00000000">
        <w:rPr>
          <w:b w:val="1"/>
          <w:rtl w:val="0"/>
        </w:rPr>
        <w:t xml:space="preserve">SolarFlow Controls Inc.</w:t>
      </w:r>
      <w:r w:rsidDel="00000000" w:rsidR="00000000" w:rsidRPr="00000000">
        <w:rPr>
          <w:rtl w:val="0"/>
        </w:rPr>
        <w:t xml:space="preserve"> (“SolarFlow”) for </w:t>
      </w:r>
      <w:r w:rsidDel="00000000" w:rsidR="00000000" w:rsidRPr="00000000">
        <w:rPr>
          <w:b w:val="1"/>
          <w:rtl w:val="0"/>
        </w:rPr>
        <w:t xml:space="preserve">$22 million cash + $4 million earn-out</w:t>
      </w:r>
      <w:r w:rsidDel="00000000" w:rsidR="00000000" w:rsidRPr="00000000">
        <w:rPr>
          <w:rtl w:val="0"/>
        </w:rPr>
        <w:t xml:space="preserve">, expected close Q1 2026.</w:t>
        <w:br w:type="textWrapping"/>
        <w:t xml:space="preserve"> SolarFlow designs micro-inverter and array-control hardware for small commercial PV systems.</w:t>
        <w:br w:type="textWrapping"/>
        <w:t xml:space="preserve"> The deal expands GreenArc’s hardware offering and gives a footprint in the 2–25 kW segment.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des967idz4" w:id="2"/>
      <w:bookmarkEnd w:id="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Strategic Rationale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3.3229329173168"/>
        <w:gridCol w:w="4370.920436817472"/>
        <w:gridCol w:w="3275.7566302652103"/>
        <w:tblGridChange w:id="0">
          <w:tblGrid>
            <w:gridCol w:w="1713.3229329173168"/>
            <w:gridCol w:w="4370.920436817472"/>
            <w:gridCol w:w="3275.75663026521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Product Synergy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Integrate SolarFlow inverter with GreenArc’s storage controller.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Technically feasible; integration cost ≈ $2 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Channel Expansion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300 installers under SolarFlow distributor agreements.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60 % overlap with existing partners.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Cost Synergies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Combined procurement could cut BOM 5 %.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Limited — supplier contracts locked till 2027.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Market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Immediate entry to small-commercial niche (~$400 M US TAM).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Attractive but fragmented.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Strategic fit moderate; execution risk medium–high.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wgtjk9qgqf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Financial Summary (Pro Forma Estimate)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7.511497189576"/>
        <w:gridCol w:w="1970.5263157894738"/>
        <w:gridCol w:w="1984.8748083801738"/>
        <w:gridCol w:w="2817.087378640777"/>
        <w:tblGridChange w:id="0">
          <w:tblGrid>
            <w:gridCol w:w="2587.511497189576"/>
            <w:gridCol w:w="1970.5263157894738"/>
            <w:gridCol w:w="1984.8748083801738"/>
            <w:gridCol w:w="2817.08737864077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SolarFlow FY 2025E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Combined FY 2026E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Revenue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+18 % growth post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EBITDA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Margin ≈ 7 % → slightly dilutive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Gross Margin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CapEx / Integration Cost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ERP + firmware harmonization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IRR (5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10.1 %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Barely above hurdle (10 %)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Payback (yrs)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Analyst note:</w:t>
      </w:r>
      <w:r w:rsidDel="00000000" w:rsidR="00000000" w:rsidRPr="00000000">
        <w:rPr>
          <w:rtl w:val="0"/>
        </w:rPr>
        <w:t xml:space="preserve"> Deal adds revenue volume but not meaningful margin lift; integration capex front-loads returns.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9tt8wznyaz" w:id="4"/>
      <w:bookmarkEnd w:id="4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Due Diligence Highlights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Financial:</w:t>
      </w:r>
      <w:r w:rsidDel="00000000" w:rsidR="00000000" w:rsidRPr="00000000">
        <w:rPr>
          <w:rtl w:val="0"/>
        </w:rPr>
        <w:t xml:space="preserve"> Audited through FY 2024; no material liabilities identified.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Legal:</w:t>
      </w:r>
      <w:r w:rsidDel="00000000" w:rsidR="00000000" w:rsidRPr="00000000">
        <w:rPr>
          <w:rtl w:val="0"/>
        </w:rPr>
        <w:t xml:space="preserve"> Two supplier contracts contain change-of-control clauses (trigger consent).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Firmware roadmap requires rewrite to interface with GreenArc controller.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HR:</w:t>
      </w:r>
      <w:r w:rsidDel="00000000" w:rsidR="00000000" w:rsidRPr="00000000">
        <w:rPr>
          <w:rtl w:val="0"/>
        </w:rPr>
        <w:t xml:space="preserve"> 45 employees; retention bonuses $1.2 M included in purchase price.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Top 5 = 72 % of revenue; 3 on annual renewals.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Environmental:</w:t>
      </w:r>
      <w:r w:rsidDel="00000000" w:rsidR="00000000" w:rsidRPr="00000000">
        <w:rPr>
          <w:rtl w:val="0"/>
        </w:rPr>
        <w:t xml:space="preserve"> No issues; facility ISO 14001 certified.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ba44ymdwsd" w:id="5"/>
      <w:bookmarkEnd w:id="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Risks &amp; Mitigations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3.8845553822152"/>
        <w:gridCol w:w="1538.0967238689548"/>
        <w:gridCol w:w="5028.018720748831"/>
        <w:tblGridChange w:id="0">
          <w:tblGrid>
            <w:gridCol w:w="2793.8845553822152"/>
            <w:gridCol w:w="1538.0967238689548"/>
            <w:gridCol w:w="5028.0187207488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Integration Delays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Dedicated PMO + 6-mo transition team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Revenue Attrition Post-Close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Joint account retention plan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Supplier Consent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Pre-close renegotiation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Earn-out Dispute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Clarify KPIs (pre-tax EBITDA) in definitive agreement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Cultural Mismatch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Low–Medium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Leadership exchange program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jx5g9o15gf" w:id="6"/>
      <w:bookmarkEnd w:id="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Valuation Summary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7.1563981042655"/>
        <w:gridCol w:w="2725.687203791469"/>
        <w:gridCol w:w="3317.1563981042655"/>
        <w:tblGridChange w:id="0">
          <w:tblGrid>
            <w:gridCol w:w="3317.1563981042655"/>
            <w:gridCol w:w="2725.687203791469"/>
            <w:gridCol w:w="3317.1563981042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Implied EV ($ 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DCF (8 % WACC, 5 yr)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IRR ≈ 9 % – 10 %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EBITDA Multiple (10 × 2025E)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Peer avg 8 × → Premium paid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Revenue Multiple (1.7 × 2025E)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Reasonable for growth hardware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Selected Purchase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 (22 cash + 4 earn-out)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12 % premium vs DCF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kb8pf9tt15" w:id="7"/>
      <w:bookmarkEnd w:id="7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7️⃣ Preliminary Recommendation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acquisition adds strategic breadth, the return profile is marginal and integration risk non-trivial.</w:t>
        <w:br w:type="textWrapping"/>
        <w:t xml:space="preserve"> We recommend proceeding </w:t>
      </w:r>
      <w:r w:rsidDel="00000000" w:rsidR="00000000" w:rsidRPr="00000000">
        <w:rPr>
          <w:b w:val="1"/>
          <w:rtl w:val="0"/>
        </w:rPr>
        <w:t xml:space="preserve">only if earn-out tied to firm synergy metrics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(&gt; $2 M annual cost savings by Year 3).</w:t>
        <w:br w:type="textWrapping"/>
        <w:t xml:space="preserve"> Absent those terms, deal should be repriced to $20–21 M range to achieve ≥ 12 % IRR.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