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3361" w14:textId="77777777" w:rsidR="00DE2029" w:rsidRPr="00862DA5" w:rsidRDefault="00DE2029">
      <w:pPr>
        <w:rPr>
          <w:lang w:val="en-US"/>
        </w:rPr>
      </w:pPr>
    </w:p>
    <w:p w14:paraId="05A4AD87" w14:textId="36966C2D" w:rsidR="00DE2029" w:rsidRPr="00862DA5" w:rsidRDefault="00DE2029" w:rsidP="00DE2029">
      <w:pPr>
        <w:jc w:val="center"/>
        <w:rPr>
          <w:lang w:val="en-US"/>
        </w:rPr>
      </w:pPr>
      <w:r w:rsidRPr="00862DA5">
        <w:rPr>
          <w:lang w:val="en-US"/>
        </w:rPr>
        <w:t>Q2</w:t>
      </w:r>
    </w:p>
    <w:tbl>
      <w:tblPr>
        <w:tblpPr w:leftFromText="141" w:rightFromText="141" w:vertAnchor="text" w:horzAnchor="margin" w:tblpY="354"/>
        <w:tblW w:w="9060" w:type="dxa"/>
        <w:tblCellMar>
          <w:left w:w="70" w:type="dxa"/>
          <w:right w:w="70" w:type="dxa"/>
        </w:tblCellMar>
        <w:tblLook w:val="04A0" w:firstRow="1" w:lastRow="0" w:firstColumn="1" w:lastColumn="0" w:noHBand="0" w:noVBand="1"/>
      </w:tblPr>
      <w:tblGrid>
        <w:gridCol w:w="2760"/>
        <w:gridCol w:w="3060"/>
        <w:gridCol w:w="3240"/>
      </w:tblGrid>
      <w:tr w:rsidR="00BD3121" w:rsidRPr="000B50E1" w14:paraId="10DA577B" w14:textId="77777777" w:rsidTr="00DE2029">
        <w:trPr>
          <w:trHeight w:val="34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8F50E" w14:textId="77777777" w:rsidR="00DE2029" w:rsidRPr="00862DA5" w:rsidRDefault="00DE2029" w:rsidP="00DE2029">
            <w:pPr>
              <w:rPr>
                <w:rFonts w:ascii="Calibri" w:hAnsi="Calibri" w:cs="Calibri"/>
                <w:b/>
                <w:bCs/>
                <w:color w:val="44546A"/>
                <w:sz w:val="26"/>
                <w:szCs w:val="26"/>
                <w:lang w:val="en-US"/>
              </w:rPr>
            </w:pPr>
          </w:p>
          <w:p w14:paraId="03318990" w14:textId="40265ADF"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Portfolio</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707FF" w14:textId="77777777"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Value—weighted portfolio</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7A7B55" w14:textId="77777777" w:rsidR="00BD3121" w:rsidRPr="000B50E1" w:rsidRDefault="00BD3121" w:rsidP="00DE2029">
            <w:pPr>
              <w:jc w:val="center"/>
              <w:rPr>
                <w:rFonts w:ascii="Calibri" w:hAnsi="Calibri" w:cs="Calibri"/>
                <w:b/>
                <w:bCs/>
                <w:color w:val="44546A"/>
                <w:sz w:val="26"/>
                <w:szCs w:val="26"/>
                <w:lang w:val="en-US"/>
              </w:rPr>
            </w:pPr>
            <w:proofErr w:type="gramStart"/>
            <w:r w:rsidRPr="000B50E1">
              <w:rPr>
                <w:rFonts w:ascii="Calibri" w:hAnsi="Calibri" w:cs="Calibri"/>
                <w:b/>
                <w:bCs/>
                <w:color w:val="44546A"/>
                <w:sz w:val="26"/>
                <w:szCs w:val="26"/>
                <w:lang w:val="en-US"/>
              </w:rPr>
              <w:t>Equally—weighted</w:t>
            </w:r>
            <w:proofErr w:type="gramEnd"/>
            <w:r w:rsidRPr="000B50E1">
              <w:rPr>
                <w:rFonts w:ascii="Calibri" w:hAnsi="Calibri" w:cs="Calibri"/>
                <w:b/>
                <w:bCs/>
                <w:color w:val="44546A"/>
                <w:sz w:val="26"/>
                <w:szCs w:val="26"/>
                <w:lang w:val="en-US"/>
              </w:rPr>
              <w:t xml:space="preserve"> portfolio</w:t>
            </w:r>
          </w:p>
        </w:tc>
      </w:tr>
      <w:tr w:rsidR="00BD3121" w:rsidRPr="000B50E1" w14:paraId="2A7BA45F"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B6DE"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Annualized average return</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62A6D"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0.0678</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69840"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0.1145</w:t>
            </w:r>
          </w:p>
        </w:tc>
      </w:tr>
      <w:tr w:rsidR="00BD3121" w:rsidRPr="000B50E1" w14:paraId="451C9B4E"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5D912C"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Annualized volatility</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73BD1"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0.2261</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DEC446"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0.4661</w:t>
            </w:r>
          </w:p>
        </w:tc>
      </w:tr>
      <w:tr w:rsidR="00BD3121" w:rsidRPr="000B50E1" w14:paraId="1641ADDE"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ECC0F"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Minimum return</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75BA7"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-0.4543</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3E76A"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-0.6013</w:t>
            </w:r>
          </w:p>
        </w:tc>
      </w:tr>
      <w:tr w:rsidR="00BD3121" w:rsidRPr="000B50E1" w14:paraId="668BEE75"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B7E7C0"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Maximum return</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42A33D"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0.5026</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7D49FB"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0.7621</w:t>
            </w:r>
          </w:p>
        </w:tc>
      </w:tr>
      <w:tr w:rsidR="00BD3121" w:rsidRPr="000B50E1" w14:paraId="0F0B33D0"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FB43"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Sharpe Ratio</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FD5F"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0.0787</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B2304"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0.1384</w:t>
            </w:r>
          </w:p>
        </w:tc>
      </w:tr>
    </w:tbl>
    <w:p w14:paraId="77843FD3" w14:textId="77777777" w:rsidR="00DE2029" w:rsidRPr="00862DA5" w:rsidRDefault="00DE2029" w:rsidP="00310C74">
      <w:pPr>
        <w:jc w:val="center"/>
        <w:rPr>
          <w:i/>
          <w:iCs/>
          <w:lang w:val="en-US"/>
        </w:rPr>
      </w:pPr>
    </w:p>
    <w:p w14:paraId="2720DACB" w14:textId="0D364F13" w:rsidR="00BD3121" w:rsidRPr="00862DA5" w:rsidRDefault="00BD3121" w:rsidP="00310C74">
      <w:pPr>
        <w:jc w:val="center"/>
        <w:rPr>
          <w:i/>
          <w:iCs/>
          <w:lang w:val="en-US"/>
        </w:rPr>
      </w:pPr>
      <w:r w:rsidRPr="00862DA5">
        <w:rPr>
          <w:i/>
          <w:iCs/>
          <w:lang w:val="en-US"/>
        </w:rPr>
        <w:t xml:space="preserve">Figure 2: Portfolio </w:t>
      </w:r>
      <w:r w:rsidR="006B5968" w:rsidRPr="00862DA5">
        <w:rPr>
          <w:i/>
          <w:iCs/>
          <w:lang w:val="en-US"/>
        </w:rPr>
        <w:t>characteristics.</w:t>
      </w:r>
    </w:p>
    <w:p w14:paraId="064D157F" w14:textId="77777777" w:rsidR="0015601F" w:rsidRPr="00862DA5" w:rsidRDefault="0015601F" w:rsidP="0015601F">
      <w:pPr>
        <w:jc w:val="center"/>
        <w:rPr>
          <w:i/>
          <w:iCs/>
          <w:lang w:val="en-US"/>
        </w:rPr>
      </w:pPr>
    </w:p>
    <w:tbl>
      <w:tblPr>
        <w:tblW w:w="7380" w:type="dxa"/>
        <w:jc w:val="center"/>
        <w:tblCellMar>
          <w:left w:w="70" w:type="dxa"/>
          <w:right w:w="70" w:type="dxa"/>
        </w:tblCellMar>
        <w:tblLook w:val="04A0" w:firstRow="1" w:lastRow="0" w:firstColumn="1" w:lastColumn="0" w:noHBand="0" w:noVBand="1"/>
      </w:tblPr>
      <w:tblGrid>
        <w:gridCol w:w="2380"/>
        <w:gridCol w:w="2500"/>
        <w:gridCol w:w="2500"/>
      </w:tblGrid>
      <w:tr w:rsidR="0015601F" w:rsidRPr="00862DA5" w14:paraId="4EBB892E"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04DB166E"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500" w:type="dxa"/>
            <w:tcBorders>
              <w:top w:val="single" w:sz="4" w:space="0" w:color="auto"/>
              <w:left w:val="nil"/>
              <w:bottom w:val="single" w:sz="4" w:space="0" w:color="auto"/>
              <w:right w:val="nil"/>
            </w:tcBorders>
            <w:shd w:val="clear" w:color="auto" w:fill="auto"/>
            <w:noWrap/>
            <w:vAlign w:val="bottom"/>
            <w:hideMark/>
          </w:tcPr>
          <w:p w14:paraId="63F83CF2"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00" w:type="dxa"/>
            <w:tcBorders>
              <w:top w:val="single" w:sz="4" w:space="0" w:color="auto"/>
              <w:left w:val="nil"/>
              <w:bottom w:val="single" w:sz="4" w:space="0" w:color="auto"/>
              <w:right w:val="nil"/>
            </w:tcBorders>
            <w:shd w:val="clear" w:color="auto" w:fill="auto"/>
            <w:noWrap/>
            <w:vAlign w:val="bottom"/>
            <w:hideMark/>
          </w:tcPr>
          <w:p w14:paraId="4546F897" w14:textId="77777777" w:rsidR="0015601F" w:rsidRPr="00862DA5" w:rsidRDefault="0015601F" w:rsidP="0015601F">
            <w:pPr>
              <w:jc w:val="center"/>
              <w:rPr>
                <w:rFonts w:ascii="Calibri" w:hAnsi="Calibri" w:cs="Calibri"/>
                <w:b/>
                <w:bCs/>
                <w:color w:val="44546A"/>
                <w:sz w:val="20"/>
                <w:szCs w:val="20"/>
                <w:lang w:val="en-US"/>
              </w:rPr>
            </w:pPr>
            <w:proofErr w:type="gramStart"/>
            <w:r w:rsidRPr="00862DA5">
              <w:rPr>
                <w:rFonts w:ascii="Calibri" w:hAnsi="Calibri" w:cs="Calibri"/>
                <w:b/>
                <w:bCs/>
                <w:color w:val="44546A"/>
                <w:sz w:val="20"/>
                <w:szCs w:val="20"/>
                <w:lang w:val="en-US"/>
              </w:rPr>
              <w:t>Equally—weighted</w:t>
            </w:r>
            <w:proofErr w:type="gramEnd"/>
            <w:r w:rsidRPr="00862DA5">
              <w:rPr>
                <w:rFonts w:ascii="Calibri" w:hAnsi="Calibri" w:cs="Calibri"/>
                <w:b/>
                <w:bCs/>
                <w:color w:val="44546A"/>
                <w:sz w:val="20"/>
                <w:szCs w:val="20"/>
                <w:lang w:val="en-US"/>
              </w:rPr>
              <w:t xml:space="preserve"> portfolio</w:t>
            </w:r>
          </w:p>
        </w:tc>
      </w:tr>
      <w:tr w:rsidR="0015601F" w:rsidRPr="00862DA5" w14:paraId="74F1D827" w14:textId="77777777" w:rsidTr="0015601F">
        <w:trPr>
          <w:trHeight w:val="320"/>
          <w:jc w:val="center"/>
        </w:trPr>
        <w:tc>
          <w:tcPr>
            <w:tcW w:w="2380" w:type="dxa"/>
            <w:tcBorders>
              <w:top w:val="nil"/>
              <w:left w:val="nil"/>
              <w:bottom w:val="nil"/>
              <w:right w:val="nil"/>
            </w:tcBorders>
            <w:shd w:val="clear" w:color="auto" w:fill="auto"/>
            <w:noWrap/>
            <w:vAlign w:val="bottom"/>
            <w:hideMark/>
          </w:tcPr>
          <w:p w14:paraId="0B8A78C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500" w:type="dxa"/>
            <w:tcBorders>
              <w:top w:val="nil"/>
              <w:left w:val="nil"/>
              <w:bottom w:val="nil"/>
              <w:right w:val="nil"/>
            </w:tcBorders>
            <w:shd w:val="clear" w:color="auto" w:fill="auto"/>
            <w:noWrap/>
            <w:vAlign w:val="bottom"/>
            <w:hideMark/>
          </w:tcPr>
          <w:p w14:paraId="5A479C8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0.0678</w:t>
            </w:r>
          </w:p>
        </w:tc>
        <w:tc>
          <w:tcPr>
            <w:tcW w:w="2500" w:type="dxa"/>
            <w:tcBorders>
              <w:top w:val="nil"/>
              <w:left w:val="nil"/>
              <w:bottom w:val="nil"/>
              <w:right w:val="nil"/>
            </w:tcBorders>
            <w:shd w:val="clear" w:color="auto" w:fill="auto"/>
            <w:noWrap/>
            <w:vAlign w:val="bottom"/>
            <w:hideMark/>
          </w:tcPr>
          <w:p w14:paraId="084C5F5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0.1145</w:t>
            </w:r>
          </w:p>
        </w:tc>
      </w:tr>
      <w:tr w:rsidR="0015601F" w:rsidRPr="00862DA5" w14:paraId="1BDD7FCF"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7CFE4AAC"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500" w:type="dxa"/>
            <w:tcBorders>
              <w:top w:val="single" w:sz="4" w:space="0" w:color="auto"/>
              <w:left w:val="nil"/>
              <w:bottom w:val="single" w:sz="4" w:space="0" w:color="auto"/>
              <w:right w:val="nil"/>
            </w:tcBorders>
            <w:shd w:val="clear" w:color="auto" w:fill="auto"/>
            <w:noWrap/>
            <w:vAlign w:val="bottom"/>
            <w:hideMark/>
          </w:tcPr>
          <w:p w14:paraId="4283A816"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0.2261</w:t>
            </w:r>
          </w:p>
        </w:tc>
        <w:tc>
          <w:tcPr>
            <w:tcW w:w="2500" w:type="dxa"/>
            <w:tcBorders>
              <w:top w:val="single" w:sz="4" w:space="0" w:color="auto"/>
              <w:left w:val="nil"/>
              <w:bottom w:val="single" w:sz="4" w:space="0" w:color="auto"/>
              <w:right w:val="nil"/>
            </w:tcBorders>
            <w:shd w:val="clear" w:color="auto" w:fill="auto"/>
            <w:noWrap/>
            <w:vAlign w:val="bottom"/>
            <w:hideMark/>
          </w:tcPr>
          <w:p w14:paraId="4FD43AB8"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0.4661</w:t>
            </w:r>
          </w:p>
        </w:tc>
      </w:tr>
      <w:tr w:rsidR="0015601F" w:rsidRPr="00862DA5" w14:paraId="76EDC31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1B7CEF4F"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Minimum return</w:t>
            </w:r>
          </w:p>
        </w:tc>
        <w:tc>
          <w:tcPr>
            <w:tcW w:w="2500" w:type="dxa"/>
            <w:tcBorders>
              <w:top w:val="nil"/>
              <w:left w:val="nil"/>
              <w:bottom w:val="single" w:sz="4" w:space="0" w:color="auto"/>
              <w:right w:val="nil"/>
            </w:tcBorders>
            <w:shd w:val="clear" w:color="auto" w:fill="auto"/>
            <w:noWrap/>
            <w:vAlign w:val="bottom"/>
            <w:hideMark/>
          </w:tcPr>
          <w:p w14:paraId="22F56BA3"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-0.4543</w:t>
            </w:r>
          </w:p>
        </w:tc>
        <w:tc>
          <w:tcPr>
            <w:tcW w:w="2500" w:type="dxa"/>
            <w:tcBorders>
              <w:top w:val="nil"/>
              <w:left w:val="nil"/>
              <w:bottom w:val="single" w:sz="4" w:space="0" w:color="auto"/>
              <w:right w:val="nil"/>
            </w:tcBorders>
            <w:shd w:val="clear" w:color="auto" w:fill="auto"/>
            <w:noWrap/>
            <w:vAlign w:val="bottom"/>
            <w:hideMark/>
          </w:tcPr>
          <w:p w14:paraId="3C2F200F"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-0.6013</w:t>
            </w:r>
          </w:p>
        </w:tc>
      </w:tr>
      <w:tr w:rsidR="0015601F" w:rsidRPr="00862DA5" w14:paraId="6EC9F957"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1A62AC9E"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500" w:type="dxa"/>
            <w:tcBorders>
              <w:top w:val="nil"/>
              <w:left w:val="nil"/>
              <w:bottom w:val="single" w:sz="4" w:space="0" w:color="auto"/>
              <w:right w:val="nil"/>
            </w:tcBorders>
            <w:shd w:val="clear" w:color="auto" w:fill="auto"/>
            <w:noWrap/>
            <w:vAlign w:val="bottom"/>
            <w:hideMark/>
          </w:tcPr>
          <w:p w14:paraId="5684D9BA"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0.5026</w:t>
            </w:r>
          </w:p>
        </w:tc>
        <w:tc>
          <w:tcPr>
            <w:tcW w:w="2500" w:type="dxa"/>
            <w:tcBorders>
              <w:top w:val="nil"/>
              <w:left w:val="nil"/>
              <w:bottom w:val="single" w:sz="4" w:space="0" w:color="auto"/>
              <w:right w:val="nil"/>
            </w:tcBorders>
            <w:shd w:val="clear" w:color="auto" w:fill="auto"/>
            <w:noWrap/>
            <w:vAlign w:val="bottom"/>
            <w:hideMark/>
          </w:tcPr>
          <w:p w14:paraId="41A1947B"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0.7621</w:t>
            </w:r>
          </w:p>
        </w:tc>
      </w:tr>
      <w:tr w:rsidR="0015601F" w:rsidRPr="00862DA5" w14:paraId="7DC7E769"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556F6375"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500" w:type="dxa"/>
            <w:tcBorders>
              <w:top w:val="nil"/>
              <w:left w:val="nil"/>
              <w:bottom w:val="single" w:sz="4" w:space="0" w:color="auto"/>
              <w:right w:val="nil"/>
            </w:tcBorders>
            <w:shd w:val="clear" w:color="auto" w:fill="auto"/>
            <w:noWrap/>
            <w:vAlign w:val="bottom"/>
            <w:hideMark/>
          </w:tcPr>
          <w:p w14:paraId="2D476C3A"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0.0787</w:t>
            </w:r>
          </w:p>
        </w:tc>
        <w:tc>
          <w:tcPr>
            <w:tcW w:w="2500" w:type="dxa"/>
            <w:tcBorders>
              <w:top w:val="nil"/>
              <w:left w:val="nil"/>
              <w:bottom w:val="single" w:sz="4" w:space="0" w:color="auto"/>
              <w:right w:val="nil"/>
            </w:tcBorders>
            <w:shd w:val="clear" w:color="auto" w:fill="auto"/>
            <w:noWrap/>
            <w:vAlign w:val="bottom"/>
            <w:hideMark/>
          </w:tcPr>
          <w:p w14:paraId="280FB60D"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0.1384</w:t>
            </w:r>
          </w:p>
        </w:tc>
      </w:tr>
    </w:tbl>
    <w:p w14:paraId="33622E77" w14:textId="5DF823F3" w:rsidR="0015601F" w:rsidRPr="00862DA5" w:rsidRDefault="0015601F" w:rsidP="0015601F">
      <w:pPr>
        <w:jc w:val="center"/>
        <w:rPr>
          <w:i/>
          <w:iCs/>
          <w:lang w:val="en-US"/>
        </w:rPr>
      </w:pPr>
      <w:r w:rsidRPr="00862DA5">
        <w:rPr>
          <w:i/>
          <w:iCs/>
          <w:lang w:val="en-US"/>
        </w:rPr>
        <w:t>Figure 2: Portfolio characteristics</w:t>
      </w:r>
    </w:p>
    <w:p w14:paraId="3959E2D5" w14:textId="0F70DF69" w:rsidR="00332ABC" w:rsidRPr="00862DA5" w:rsidRDefault="00332ABC" w:rsidP="00310C74">
      <w:pPr>
        <w:pStyle w:val="NormalWeb"/>
        <w:rPr>
          <w:lang w:val="en-US"/>
        </w:rPr>
      </w:pPr>
      <w:r w:rsidRPr="00862DA5">
        <w:rPr>
          <w:lang w:val="en-US"/>
        </w:rPr>
        <w:t xml:space="preserve">The value-weighted portfolio has an annualized average return of 6.78% and an annualized volatility of 22.61%. In comparison, the </w:t>
      </w:r>
      <w:proofErr w:type="gramStart"/>
      <w:r w:rsidRPr="00862DA5">
        <w:rPr>
          <w:lang w:val="en-US"/>
        </w:rPr>
        <w:t>equally-weighted</w:t>
      </w:r>
      <w:proofErr w:type="gramEnd"/>
      <w:r w:rsidRPr="00862DA5">
        <w:rPr>
          <w:lang w:val="en-US"/>
        </w:rPr>
        <w:t xml:space="preserve"> portfolio has an annualized average return of 11.45% and an annualized volatility of 46.61%. The Sharpe ratio, which measures the excess return per unit of risk, is ~0.08 for the value-weighted portfolio and ~0.14 for the </w:t>
      </w:r>
      <w:proofErr w:type="gramStart"/>
      <w:r w:rsidRPr="00862DA5">
        <w:rPr>
          <w:lang w:val="en-US"/>
        </w:rPr>
        <w:t>equally-weighted</w:t>
      </w:r>
      <w:proofErr w:type="gramEnd"/>
      <w:r w:rsidRPr="00862DA5">
        <w:rPr>
          <w:lang w:val="en-US"/>
        </w:rPr>
        <w:t xml:space="preserve"> portfolio. The higher average return of the </w:t>
      </w:r>
      <w:proofErr w:type="gramStart"/>
      <w:r w:rsidRPr="00862DA5">
        <w:rPr>
          <w:lang w:val="en-US"/>
        </w:rPr>
        <w:t>equally-weighted</w:t>
      </w:r>
      <w:proofErr w:type="gramEnd"/>
      <w:r w:rsidRPr="00862DA5">
        <w:rPr>
          <w:lang w:val="en-US"/>
        </w:rPr>
        <w:t xml:space="preserve"> portfolio can be explained by the fact that it includes smaller companies with potentially higher returns than larger, more established firms. This is consistent with the size premium, where smaller stocks tend to outperform larger stocks over the long-term. Additionally, the </w:t>
      </w:r>
      <w:proofErr w:type="gramStart"/>
      <w:r w:rsidRPr="00862DA5">
        <w:rPr>
          <w:lang w:val="en-US"/>
        </w:rPr>
        <w:t>equally-weighted</w:t>
      </w:r>
      <w:proofErr w:type="gramEnd"/>
      <w:r w:rsidRPr="00862DA5">
        <w:rPr>
          <w:lang w:val="en-US"/>
        </w:rPr>
        <w:t xml:space="preserve"> portfolio may be more exposed to certain factors that have historically generated higher returns, such as value or momentum.</w:t>
      </w:r>
    </w:p>
    <w:p w14:paraId="485FD4A7" w14:textId="77777777" w:rsidR="00332ABC" w:rsidRPr="00862DA5" w:rsidRDefault="00332ABC" w:rsidP="00310C74">
      <w:pPr>
        <w:pStyle w:val="NormalWeb"/>
        <w:rPr>
          <w:lang w:val="en-US"/>
        </w:rPr>
      </w:pPr>
      <w:r w:rsidRPr="00862DA5">
        <w:rPr>
          <w:lang w:val="en-US"/>
        </w:rPr>
        <w:t xml:space="preserve">Moreover, the higher volatility of the </w:t>
      </w:r>
      <w:proofErr w:type="gramStart"/>
      <w:r w:rsidRPr="00862DA5">
        <w:rPr>
          <w:lang w:val="en-US"/>
        </w:rPr>
        <w:t>equally-weighted</w:t>
      </w:r>
      <w:proofErr w:type="gramEnd"/>
      <w:r w:rsidRPr="00862DA5">
        <w:rPr>
          <w:lang w:val="en-US"/>
        </w:rPr>
        <w:t xml:space="preserve"> portfolio can be explained by its lack of diversification compared to the value-weighted portfolio. The value-weighted portfolio assigns more weight to larger, more established companies, as previously stated, which tend to be less volatile than smaller, less established firms. Following this logic, the </w:t>
      </w:r>
      <w:proofErr w:type="gramStart"/>
      <w:r w:rsidRPr="00862DA5">
        <w:rPr>
          <w:lang w:val="en-US"/>
        </w:rPr>
        <w:t>equally-weighted</w:t>
      </w:r>
      <w:proofErr w:type="gramEnd"/>
      <w:r w:rsidRPr="00862DA5">
        <w:rPr>
          <w:lang w:val="en-US"/>
        </w:rPr>
        <w:t xml:space="preserve"> portfolio may be more sensitive to market movements, as small changes in the prices of individual stocks can have a more significant impact on the overall portfolio. In contrast, the value-weighted portfolio may be more resilient to such movements due to its constituents of larger, more stable stocks. This is consistent with the efficient market hypothesis, which states that in a well-functioning market, investors will demand higher returns to compensate for higher risk. The Sharpe ratio, which measures the excess return per unit of risk, is higher for the </w:t>
      </w:r>
      <w:proofErr w:type="gramStart"/>
      <w:r w:rsidRPr="00862DA5">
        <w:rPr>
          <w:lang w:val="en-US"/>
        </w:rPr>
        <w:t>equally-weighted</w:t>
      </w:r>
      <w:proofErr w:type="gramEnd"/>
      <w:r w:rsidRPr="00862DA5">
        <w:rPr>
          <w:lang w:val="en-US"/>
        </w:rPr>
        <w:t xml:space="preserve"> portfolio. This suggests that the </w:t>
      </w:r>
      <w:proofErr w:type="gramStart"/>
      <w:r w:rsidRPr="00862DA5">
        <w:rPr>
          <w:lang w:val="en-US"/>
        </w:rPr>
        <w:t>equally-weighted</w:t>
      </w:r>
      <w:proofErr w:type="gramEnd"/>
      <w:r w:rsidRPr="00862DA5">
        <w:rPr>
          <w:lang w:val="en-US"/>
        </w:rPr>
        <w:t xml:space="preserve"> portfolio provided a higher return per unit of risk compared to the value-weighted portfolio.</w:t>
      </w:r>
    </w:p>
    <w:p w14:paraId="7D7F1118" w14:textId="2AF27D53" w:rsidR="00612649" w:rsidRDefault="00332ABC" w:rsidP="00310C74">
      <w:pPr>
        <w:pStyle w:val="NormalWeb"/>
        <w:rPr>
          <w:lang w:val="en-US"/>
        </w:rPr>
      </w:pPr>
      <w:r w:rsidRPr="00862DA5">
        <w:rPr>
          <w:lang w:val="en-US"/>
        </w:rPr>
        <w:t xml:space="preserve">Regarding the dip in annual returns for both portfolios in 2007-2009, it is due to a combination of macroeconomic factors, such as the global financial crisis, which led to a </w:t>
      </w:r>
      <w:r w:rsidRPr="00862DA5">
        <w:rPr>
          <w:lang w:val="en-US"/>
        </w:rPr>
        <w:lastRenderedPageBreak/>
        <w:t>significant decline in energy prices and demand, punishing energy firms. This is consistent with the concept of systematic risk. Additionally, changes in regulations and political uncertainty may have contributed to the decline in returns for energy firms during this period.</w:t>
      </w:r>
    </w:p>
    <w:p w14:paraId="484C1FD9" w14:textId="77777777" w:rsidR="00F44883" w:rsidRDefault="00F44883" w:rsidP="00310C74">
      <w:pPr>
        <w:pStyle w:val="NormalWeb"/>
        <w:rPr>
          <w:lang w:val="en-US"/>
        </w:rPr>
      </w:pPr>
    </w:p>
    <w:p w14:paraId="4FE961E3" w14:textId="383BA704" w:rsidR="00F44883" w:rsidRPr="00862DA5" w:rsidRDefault="00F44883" w:rsidP="00310C74">
      <w:pPr>
        <w:pStyle w:val="NormalWeb"/>
        <w:rPr>
          <w:lang w:val="en-US"/>
        </w:rPr>
      </w:pPr>
      <w:r>
        <w:rPr>
          <w:lang w:val="en-US"/>
        </w:rPr>
        <w:t xml:space="preserve">Check how many firms are in each group. The weight of the big-size companies can result in an imbalance </w:t>
      </w:r>
      <w:proofErr w:type="gramStart"/>
      <w:r>
        <w:rPr>
          <w:lang w:val="en-US"/>
        </w:rPr>
        <w:t>due to</w:t>
      </w:r>
      <w:proofErr w:type="gramEnd"/>
      <w:r>
        <w:rPr>
          <w:lang w:val="en-US"/>
        </w:rPr>
        <w:t xml:space="preserve"> they are less likely to default and have fewer </w:t>
      </w:r>
      <w:proofErr w:type="spellStart"/>
      <w:r>
        <w:rPr>
          <w:lang w:val="en-US"/>
        </w:rPr>
        <w:t>NaN’s</w:t>
      </w:r>
      <w:proofErr w:type="spellEnd"/>
      <w:r>
        <w:rPr>
          <w:lang w:val="en-US"/>
        </w:rPr>
        <w:t xml:space="preserve"> compared to the smaller firms.</w:t>
      </w:r>
    </w:p>
    <w:p w14:paraId="10E732A3" w14:textId="0C8BFA14" w:rsidR="00C54C35" w:rsidRPr="00862DA5" w:rsidRDefault="00C54C35" w:rsidP="00310C74">
      <w:pPr>
        <w:jc w:val="center"/>
        <w:rPr>
          <w:lang w:val="en-US"/>
        </w:rPr>
      </w:pPr>
      <w:r w:rsidRPr="00862DA5">
        <w:rPr>
          <w:noProof/>
          <w:lang w:val="en-US"/>
        </w:rPr>
        <w:drawing>
          <wp:inline distT="0" distB="0" distL="0" distR="0" wp14:anchorId="710594D9" wp14:editId="645C49E9">
            <wp:extent cx="5760720" cy="2302510"/>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a:extLst>
                        <a:ext uri="{28A0092B-C50C-407E-A947-70E740481C1C}">
                          <a14:useLocalDpi xmlns:a14="http://schemas.microsoft.com/office/drawing/2010/main" val="0"/>
                        </a:ext>
                      </a:extLst>
                    </a:blip>
                    <a:stretch>
                      <a:fillRect/>
                    </a:stretch>
                  </pic:blipFill>
                  <pic:spPr>
                    <a:xfrm>
                      <a:off x="0" y="0"/>
                      <a:ext cx="5760720" cy="2302510"/>
                    </a:xfrm>
                    <a:prstGeom prst="rect">
                      <a:avLst/>
                    </a:prstGeom>
                  </pic:spPr>
                </pic:pic>
              </a:graphicData>
            </a:graphic>
          </wp:inline>
        </w:drawing>
      </w:r>
    </w:p>
    <w:p w14:paraId="5BFBCB37" w14:textId="693F2713" w:rsidR="000B50E1" w:rsidRPr="00862DA5" w:rsidRDefault="000B50E1" w:rsidP="00310C74">
      <w:pPr>
        <w:jc w:val="center"/>
        <w:rPr>
          <w:i/>
          <w:iCs/>
          <w:lang w:val="en-US"/>
        </w:rPr>
      </w:pPr>
      <w:r w:rsidRPr="00862DA5">
        <w:rPr>
          <w:i/>
          <w:iCs/>
          <w:lang w:val="en-US"/>
        </w:rPr>
        <w:t xml:space="preserve">Figure 3: </w:t>
      </w:r>
      <w:r w:rsidR="006B5968" w:rsidRPr="00862DA5">
        <w:rPr>
          <w:i/>
          <w:iCs/>
          <w:lang w:val="en-US"/>
        </w:rPr>
        <w:t xml:space="preserve">Portfolio Performance with </w:t>
      </w:r>
      <w:r w:rsidR="00534969" w:rsidRPr="00862DA5">
        <w:rPr>
          <w:i/>
          <w:iCs/>
          <w:lang w:val="en-US"/>
        </w:rPr>
        <w:t>Annual Return</w:t>
      </w:r>
      <w:r w:rsidR="006B5968" w:rsidRPr="00862DA5">
        <w:rPr>
          <w:i/>
          <w:iCs/>
          <w:lang w:val="en-US"/>
        </w:rPr>
        <w:t>s</w:t>
      </w:r>
      <w:r w:rsidR="00534969" w:rsidRPr="00862DA5">
        <w:rPr>
          <w:i/>
          <w:iCs/>
          <w:lang w:val="en-US"/>
        </w:rPr>
        <w:t xml:space="preserve"> 2005-2020.</w:t>
      </w:r>
    </w:p>
    <w:p w14:paraId="58B69952" w14:textId="77777777" w:rsidR="00A53D40" w:rsidRPr="00862DA5" w:rsidRDefault="00A53D40" w:rsidP="00310C74">
      <w:pPr>
        <w:jc w:val="center"/>
        <w:rPr>
          <w:i/>
          <w:iCs/>
          <w:lang w:val="en-US"/>
        </w:rPr>
      </w:pPr>
    </w:p>
    <w:p w14:paraId="4B0E12B2" w14:textId="77777777" w:rsidR="00A53D40" w:rsidRPr="00862DA5" w:rsidRDefault="00A53D40" w:rsidP="00310C74">
      <w:pPr>
        <w:jc w:val="center"/>
        <w:rPr>
          <w:i/>
          <w:iCs/>
          <w:lang w:val="en-US"/>
        </w:rPr>
      </w:pPr>
    </w:p>
    <w:p w14:paraId="1628F15D" w14:textId="056706A4" w:rsidR="00A53D40" w:rsidRPr="00862DA5" w:rsidRDefault="00A53D40" w:rsidP="00310C74">
      <w:pPr>
        <w:jc w:val="center"/>
        <w:rPr>
          <w:lang w:val="en-US"/>
        </w:rPr>
      </w:pPr>
      <w:r w:rsidRPr="00862DA5">
        <w:rPr>
          <w:lang w:val="en-US"/>
        </w:rPr>
        <w:t>Q3</w:t>
      </w:r>
    </w:p>
    <w:p w14:paraId="478C6AB9" w14:textId="77777777" w:rsidR="00A53D40" w:rsidRPr="00862DA5" w:rsidRDefault="00A53D40" w:rsidP="00310C74">
      <w:pPr>
        <w:jc w:val="center"/>
        <w:rPr>
          <w:lang w:val="en-US"/>
        </w:rPr>
      </w:pPr>
    </w:p>
    <w:tbl>
      <w:tblPr>
        <w:tblW w:w="5820" w:type="dxa"/>
        <w:jc w:val="center"/>
        <w:tblCellMar>
          <w:left w:w="70" w:type="dxa"/>
          <w:right w:w="70" w:type="dxa"/>
        </w:tblCellMar>
        <w:tblLook w:val="04A0" w:firstRow="1" w:lastRow="0" w:firstColumn="1" w:lastColumn="0" w:noHBand="0" w:noVBand="1"/>
      </w:tblPr>
      <w:tblGrid>
        <w:gridCol w:w="2760"/>
        <w:gridCol w:w="3060"/>
      </w:tblGrid>
      <w:tr w:rsidR="00A53D40" w:rsidRPr="00862DA5" w14:paraId="4D2D0738" w14:textId="77777777" w:rsidTr="00310C74">
        <w:trPr>
          <w:trHeight w:val="340"/>
          <w:jc w:val="center"/>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5125D9"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AAR:</w:t>
            </w:r>
          </w:p>
        </w:tc>
        <w:tc>
          <w:tcPr>
            <w:tcW w:w="3060" w:type="dxa"/>
            <w:tcBorders>
              <w:top w:val="single" w:sz="4" w:space="0" w:color="auto"/>
              <w:left w:val="nil"/>
              <w:bottom w:val="single" w:sz="4" w:space="0" w:color="auto"/>
              <w:right w:val="single" w:sz="4" w:space="0" w:color="auto"/>
            </w:tcBorders>
            <w:shd w:val="clear" w:color="D9E1F2" w:fill="D9E1F2"/>
            <w:noWrap/>
            <w:vAlign w:val="bottom"/>
            <w:hideMark/>
          </w:tcPr>
          <w:p w14:paraId="1225BF6A"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4.735%</w:t>
            </w:r>
          </w:p>
        </w:tc>
      </w:tr>
      <w:tr w:rsidR="00A53D40" w:rsidRPr="00862DA5" w14:paraId="74EA7F0B"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37AD4A5"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Max yearly return:</w:t>
            </w:r>
          </w:p>
        </w:tc>
        <w:tc>
          <w:tcPr>
            <w:tcW w:w="3060" w:type="dxa"/>
            <w:tcBorders>
              <w:top w:val="nil"/>
              <w:left w:val="nil"/>
              <w:bottom w:val="single" w:sz="4" w:space="0" w:color="auto"/>
              <w:right w:val="single" w:sz="4" w:space="0" w:color="auto"/>
            </w:tcBorders>
            <w:shd w:val="clear" w:color="auto" w:fill="auto"/>
            <w:noWrap/>
            <w:vAlign w:val="bottom"/>
            <w:hideMark/>
          </w:tcPr>
          <w:p w14:paraId="2A3CADF6"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7.906%</w:t>
            </w:r>
          </w:p>
        </w:tc>
      </w:tr>
      <w:tr w:rsidR="00A53D40" w:rsidRPr="00862DA5" w14:paraId="43D99613"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D9E1F2" w:fill="D9E1F2"/>
            <w:noWrap/>
            <w:vAlign w:val="bottom"/>
            <w:hideMark/>
          </w:tcPr>
          <w:p w14:paraId="6318D08A" w14:textId="0B5DD05D"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Min yearly return:</w:t>
            </w:r>
          </w:p>
        </w:tc>
        <w:tc>
          <w:tcPr>
            <w:tcW w:w="3060" w:type="dxa"/>
            <w:tcBorders>
              <w:top w:val="nil"/>
              <w:left w:val="nil"/>
              <w:bottom w:val="single" w:sz="4" w:space="0" w:color="auto"/>
              <w:right w:val="single" w:sz="4" w:space="0" w:color="auto"/>
            </w:tcBorders>
            <w:shd w:val="clear" w:color="D9E1F2" w:fill="D9E1F2"/>
            <w:noWrap/>
            <w:vAlign w:val="bottom"/>
            <w:hideMark/>
          </w:tcPr>
          <w:p w14:paraId="4A052E9A"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1.861%</w:t>
            </w:r>
          </w:p>
        </w:tc>
      </w:tr>
      <w:tr w:rsidR="00A53D40" w:rsidRPr="00862DA5" w14:paraId="4080216C"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D5F1F5D" w14:textId="290F3D14"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Sharpe ratio:</w:t>
            </w:r>
          </w:p>
        </w:tc>
        <w:tc>
          <w:tcPr>
            <w:tcW w:w="3060" w:type="dxa"/>
            <w:tcBorders>
              <w:top w:val="nil"/>
              <w:left w:val="nil"/>
              <w:bottom w:val="single" w:sz="4" w:space="0" w:color="auto"/>
              <w:right w:val="single" w:sz="4" w:space="0" w:color="auto"/>
            </w:tcBorders>
            <w:shd w:val="clear" w:color="auto" w:fill="auto"/>
            <w:noWrap/>
            <w:vAlign w:val="bottom"/>
            <w:hideMark/>
          </w:tcPr>
          <w:p w14:paraId="1542D8B4"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4.072%</w:t>
            </w:r>
          </w:p>
        </w:tc>
      </w:tr>
      <w:tr w:rsidR="00A53D40" w:rsidRPr="00862DA5" w14:paraId="68BEFA9B"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D9E1F2" w:fill="D9E1F2"/>
            <w:noWrap/>
            <w:vAlign w:val="bottom"/>
            <w:hideMark/>
          </w:tcPr>
          <w:p w14:paraId="0E8EF046"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Annualized volatility:</w:t>
            </w:r>
          </w:p>
        </w:tc>
        <w:tc>
          <w:tcPr>
            <w:tcW w:w="3060" w:type="dxa"/>
            <w:tcBorders>
              <w:top w:val="nil"/>
              <w:left w:val="nil"/>
              <w:bottom w:val="single" w:sz="4" w:space="0" w:color="auto"/>
              <w:right w:val="single" w:sz="4" w:space="0" w:color="auto"/>
            </w:tcBorders>
            <w:shd w:val="clear" w:color="D9E1F2" w:fill="D9E1F2"/>
            <w:noWrap/>
            <w:vAlign w:val="bottom"/>
            <w:hideMark/>
          </w:tcPr>
          <w:p w14:paraId="1CA45E36"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6.517%</w:t>
            </w:r>
          </w:p>
        </w:tc>
      </w:tr>
    </w:tbl>
    <w:p w14:paraId="6CDCF67E" w14:textId="16F75BB0" w:rsidR="00A53D40" w:rsidRPr="00862DA5" w:rsidRDefault="00A53D40" w:rsidP="00310C74">
      <w:pPr>
        <w:jc w:val="center"/>
        <w:rPr>
          <w:i/>
          <w:iCs/>
          <w:lang w:val="en-US"/>
        </w:rPr>
      </w:pPr>
      <w:r w:rsidRPr="00862DA5">
        <w:rPr>
          <w:i/>
          <w:iCs/>
          <w:lang w:val="en-US"/>
        </w:rPr>
        <w:t xml:space="preserve">Figure </w:t>
      </w:r>
      <w:r w:rsidR="00C7687C" w:rsidRPr="00862DA5">
        <w:rPr>
          <w:i/>
          <w:iCs/>
          <w:lang w:val="en-US"/>
        </w:rPr>
        <w:t>4</w:t>
      </w:r>
    </w:p>
    <w:p w14:paraId="56D6EB3A" w14:textId="77777777" w:rsidR="0015601F" w:rsidRPr="00862DA5" w:rsidRDefault="0015601F" w:rsidP="00310C74">
      <w:pPr>
        <w:jc w:val="center"/>
        <w:rPr>
          <w:i/>
          <w:iCs/>
          <w:lang w:val="en-US"/>
        </w:rPr>
      </w:pPr>
    </w:p>
    <w:p w14:paraId="55A22B76" w14:textId="77777777" w:rsidR="0015601F" w:rsidRPr="00862DA5" w:rsidRDefault="0015601F" w:rsidP="00310C74">
      <w:pPr>
        <w:jc w:val="center"/>
        <w:rPr>
          <w:i/>
          <w:iCs/>
          <w:lang w:val="en-US"/>
        </w:rPr>
      </w:pPr>
    </w:p>
    <w:tbl>
      <w:tblPr>
        <w:tblW w:w="4880" w:type="dxa"/>
        <w:jc w:val="center"/>
        <w:tblCellMar>
          <w:left w:w="70" w:type="dxa"/>
          <w:right w:w="70" w:type="dxa"/>
        </w:tblCellMar>
        <w:tblLook w:val="04A0" w:firstRow="1" w:lastRow="0" w:firstColumn="1" w:lastColumn="0" w:noHBand="0" w:noVBand="1"/>
      </w:tblPr>
      <w:tblGrid>
        <w:gridCol w:w="2380"/>
        <w:gridCol w:w="2500"/>
      </w:tblGrid>
      <w:tr w:rsidR="0015601F" w:rsidRPr="00862DA5" w14:paraId="20F91A33"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3AFD272C"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AAR:</w:t>
            </w:r>
          </w:p>
        </w:tc>
        <w:tc>
          <w:tcPr>
            <w:tcW w:w="2500" w:type="dxa"/>
            <w:tcBorders>
              <w:top w:val="single" w:sz="4" w:space="0" w:color="auto"/>
              <w:left w:val="nil"/>
              <w:bottom w:val="single" w:sz="4" w:space="0" w:color="auto"/>
              <w:right w:val="nil"/>
            </w:tcBorders>
            <w:shd w:val="clear" w:color="auto" w:fill="auto"/>
            <w:noWrap/>
            <w:vAlign w:val="bottom"/>
            <w:hideMark/>
          </w:tcPr>
          <w:p w14:paraId="1CD48B8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4.735%</w:t>
            </w:r>
          </w:p>
        </w:tc>
      </w:tr>
      <w:tr w:rsidR="0015601F" w:rsidRPr="00862DA5" w14:paraId="05BEE5B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F6EE8CD"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Max yearly return:</w:t>
            </w:r>
          </w:p>
        </w:tc>
        <w:tc>
          <w:tcPr>
            <w:tcW w:w="2500" w:type="dxa"/>
            <w:tcBorders>
              <w:top w:val="nil"/>
              <w:left w:val="nil"/>
              <w:bottom w:val="single" w:sz="4" w:space="0" w:color="auto"/>
              <w:right w:val="nil"/>
            </w:tcBorders>
            <w:shd w:val="clear" w:color="auto" w:fill="auto"/>
            <w:noWrap/>
            <w:vAlign w:val="bottom"/>
            <w:hideMark/>
          </w:tcPr>
          <w:p w14:paraId="2CE5C4E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7.906%</w:t>
            </w:r>
          </w:p>
        </w:tc>
      </w:tr>
      <w:tr w:rsidR="0015601F" w:rsidRPr="00862DA5" w14:paraId="4D211E7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77FB8F6"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 xml:space="preserve">Min yearly return: </w:t>
            </w:r>
          </w:p>
        </w:tc>
        <w:tc>
          <w:tcPr>
            <w:tcW w:w="2500" w:type="dxa"/>
            <w:tcBorders>
              <w:top w:val="nil"/>
              <w:left w:val="nil"/>
              <w:bottom w:val="single" w:sz="4" w:space="0" w:color="auto"/>
              <w:right w:val="nil"/>
            </w:tcBorders>
            <w:shd w:val="clear" w:color="auto" w:fill="auto"/>
            <w:noWrap/>
            <w:vAlign w:val="bottom"/>
            <w:hideMark/>
          </w:tcPr>
          <w:p w14:paraId="49E7652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1.861%</w:t>
            </w:r>
          </w:p>
        </w:tc>
      </w:tr>
      <w:tr w:rsidR="0015601F" w:rsidRPr="00862DA5" w14:paraId="13A695F7"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A9B11D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 xml:space="preserve">Sharpe ratio: </w:t>
            </w:r>
          </w:p>
        </w:tc>
        <w:tc>
          <w:tcPr>
            <w:tcW w:w="2500" w:type="dxa"/>
            <w:tcBorders>
              <w:top w:val="nil"/>
              <w:left w:val="nil"/>
              <w:bottom w:val="single" w:sz="4" w:space="0" w:color="auto"/>
              <w:right w:val="nil"/>
            </w:tcBorders>
            <w:shd w:val="clear" w:color="auto" w:fill="auto"/>
            <w:noWrap/>
            <w:vAlign w:val="bottom"/>
            <w:hideMark/>
          </w:tcPr>
          <w:p w14:paraId="7A07ADE1"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4.072%</w:t>
            </w:r>
          </w:p>
        </w:tc>
      </w:tr>
      <w:tr w:rsidR="0015601F" w:rsidRPr="00862DA5" w14:paraId="55D329D3"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78D3D6B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Annualized volatility:</w:t>
            </w:r>
          </w:p>
        </w:tc>
        <w:tc>
          <w:tcPr>
            <w:tcW w:w="2500" w:type="dxa"/>
            <w:tcBorders>
              <w:top w:val="nil"/>
              <w:left w:val="nil"/>
              <w:bottom w:val="single" w:sz="4" w:space="0" w:color="auto"/>
              <w:right w:val="nil"/>
            </w:tcBorders>
            <w:shd w:val="clear" w:color="auto" w:fill="auto"/>
            <w:noWrap/>
            <w:vAlign w:val="bottom"/>
            <w:hideMark/>
          </w:tcPr>
          <w:p w14:paraId="71E0BD8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6.517%</w:t>
            </w:r>
          </w:p>
        </w:tc>
      </w:tr>
    </w:tbl>
    <w:p w14:paraId="180CF3E2" w14:textId="77777777" w:rsidR="0015601F" w:rsidRPr="00862DA5" w:rsidRDefault="0015601F" w:rsidP="00310C74">
      <w:pPr>
        <w:jc w:val="center"/>
        <w:rPr>
          <w:i/>
          <w:iCs/>
          <w:lang w:val="en-US"/>
        </w:rPr>
      </w:pPr>
    </w:p>
    <w:p w14:paraId="32C8A178" w14:textId="23839E54" w:rsidR="00310C74" w:rsidRPr="00862DA5" w:rsidRDefault="00310C74" w:rsidP="00310C74">
      <w:pPr>
        <w:jc w:val="center"/>
        <w:rPr>
          <w:lang w:val="en-US"/>
        </w:rPr>
      </w:pPr>
      <w:r w:rsidRPr="00862DA5">
        <w:rPr>
          <w:lang w:val="en-US"/>
        </w:rPr>
        <w:t>Q4</w:t>
      </w:r>
    </w:p>
    <w:p w14:paraId="0F839DB2" w14:textId="77777777" w:rsidR="00310C74" w:rsidRPr="00862DA5" w:rsidRDefault="00310C74" w:rsidP="00310C74">
      <w:pPr>
        <w:jc w:val="center"/>
        <w:rPr>
          <w:i/>
          <w:iCs/>
          <w:lang w:val="en-US"/>
        </w:rPr>
      </w:pPr>
    </w:p>
    <w:tbl>
      <w:tblPr>
        <w:tblW w:w="9966" w:type="dxa"/>
        <w:tblInd w:w="-5" w:type="dxa"/>
        <w:tblCellMar>
          <w:left w:w="70" w:type="dxa"/>
          <w:right w:w="70" w:type="dxa"/>
        </w:tblCellMar>
        <w:tblLook w:val="04A0" w:firstRow="1" w:lastRow="0" w:firstColumn="1" w:lastColumn="0" w:noHBand="0" w:noVBand="1"/>
      </w:tblPr>
      <w:tblGrid>
        <w:gridCol w:w="2405"/>
        <w:gridCol w:w="2410"/>
        <w:gridCol w:w="2551"/>
        <w:gridCol w:w="2600"/>
      </w:tblGrid>
      <w:tr w:rsidR="00C7687C" w:rsidRPr="00862DA5" w14:paraId="1A068D64" w14:textId="77777777" w:rsidTr="00C7687C">
        <w:trPr>
          <w:trHeight w:val="320"/>
        </w:trPr>
        <w:tc>
          <w:tcPr>
            <w:tcW w:w="24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59C9A5"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410" w:type="dxa"/>
            <w:tcBorders>
              <w:top w:val="single" w:sz="4" w:space="0" w:color="auto"/>
              <w:left w:val="nil"/>
              <w:bottom w:val="single" w:sz="4" w:space="0" w:color="auto"/>
              <w:right w:val="single" w:sz="4" w:space="0" w:color="auto"/>
            </w:tcBorders>
            <w:shd w:val="clear" w:color="D9E1F2" w:fill="D9E1F2"/>
            <w:noWrap/>
            <w:vAlign w:val="bottom"/>
            <w:hideMark/>
          </w:tcPr>
          <w:p w14:paraId="51999AF4"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51" w:type="dxa"/>
            <w:tcBorders>
              <w:top w:val="single" w:sz="4" w:space="0" w:color="auto"/>
              <w:left w:val="nil"/>
              <w:bottom w:val="single" w:sz="4" w:space="0" w:color="auto"/>
              <w:right w:val="single" w:sz="4" w:space="0" w:color="auto"/>
            </w:tcBorders>
            <w:shd w:val="clear" w:color="D9E1F2" w:fill="D9E1F2"/>
            <w:noWrap/>
            <w:vAlign w:val="bottom"/>
            <w:hideMark/>
          </w:tcPr>
          <w:p w14:paraId="0CDA5E95" w14:textId="77777777" w:rsidR="00C7687C" w:rsidRPr="00862DA5" w:rsidRDefault="00C7687C" w:rsidP="00310C74">
            <w:pPr>
              <w:jc w:val="center"/>
              <w:rPr>
                <w:rFonts w:ascii="Calibri" w:hAnsi="Calibri" w:cs="Calibri"/>
                <w:b/>
                <w:bCs/>
                <w:color w:val="44546A"/>
                <w:sz w:val="20"/>
                <w:szCs w:val="20"/>
                <w:lang w:val="en-US"/>
              </w:rPr>
            </w:pPr>
            <w:proofErr w:type="gramStart"/>
            <w:r w:rsidRPr="00862DA5">
              <w:rPr>
                <w:rFonts w:ascii="Calibri" w:hAnsi="Calibri" w:cs="Calibri"/>
                <w:b/>
                <w:bCs/>
                <w:color w:val="44546A"/>
                <w:sz w:val="20"/>
                <w:szCs w:val="20"/>
                <w:lang w:val="en-US"/>
              </w:rPr>
              <w:t>Equally—weighted</w:t>
            </w:r>
            <w:proofErr w:type="gramEnd"/>
            <w:r w:rsidRPr="00862DA5">
              <w:rPr>
                <w:rFonts w:ascii="Calibri" w:hAnsi="Calibri" w:cs="Calibri"/>
                <w:b/>
                <w:bCs/>
                <w:color w:val="44546A"/>
                <w:sz w:val="20"/>
                <w:szCs w:val="20"/>
                <w:lang w:val="en-US"/>
              </w:rPr>
              <w:t xml:space="preserve"> portfolio</w:t>
            </w:r>
          </w:p>
        </w:tc>
        <w:tc>
          <w:tcPr>
            <w:tcW w:w="2600" w:type="dxa"/>
            <w:tcBorders>
              <w:top w:val="single" w:sz="4" w:space="0" w:color="auto"/>
              <w:left w:val="nil"/>
              <w:bottom w:val="single" w:sz="4" w:space="0" w:color="auto"/>
              <w:right w:val="single" w:sz="4" w:space="0" w:color="auto"/>
            </w:tcBorders>
            <w:shd w:val="clear" w:color="D9E1F2" w:fill="D9E1F2"/>
            <w:noWrap/>
            <w:vAlign w:val="bottom"/>
            <w:hideMark/>
          </w:tcPr>
          <w:p w14:paraId="306B28BC"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Minimum variance portfolio</w:t>
            </w:r>
          </w:p>
        </w:tc>
      </w:tr>
      <w:tr w:rsidR="00C7687C" w:rsidRPr="00862DA5" w14:paraId="709AA257"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6AE7A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410" w:type="dxa"/>
            <w:tcBorders>
              <w:top w:val="nil"/>
              <w:left w:val="nil"/>
              <w:bottom w:val="single" w:sz="4" w:space="0" w:color="auto"/>
              <w:right w:val="single" w:sz="4" w:space="0" w:color="auto"/>
            </w:tcBorders>
            <w:shd w:val="clear" w:color="auto" w:fill="auto"/>
            <w:noWrap/>
            <w:vAlign w:val="bottom"/>
            <w:hideMark/>
          </w:tcPr>
          <w:p w14:paraId="0846DA7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0.0265</w:t>
            </w:r>
          </w:p>
        </w:tc>
        <w:tc>
          <w:tcPr>
            <w:tcW w:w="2551" w:type="dxa"/>
            <w:tcBorders>
              <w:top w:val="nil"/>
              <w:left w:val="nil"/>
              <w:bottom w:val="single" w:sz="4" w:space="0" w:color="auto"/>
              <w:right w:val="single" w:sz="4" w:space="0" w:color="auto"/>
            </w:tcBorders>
            <w:shd w:val="clear" w:color="auto" w:fill="auto"/>
            <w:noWrap/>
            <w:vAlign w:val="bottom"/>
            <w:hideMark/>
          </w:tcPr>
          <w:p w14:paraId="21373842"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0. 1145</w:t>
            </w:r>
          </w:p>
        </w:tc>
        <w:tc>
          <w:tcPr>
            <w:tcW w:w="2600" w:type="dxa"/>
            <w:tcBorders>
              <w:top w:val="nil"/>
              <w:left w:val="nil"/>
              <w:bottom w:val="single" w:sz="4" w:space="0" w:color="auto"/>
              <w:right w:val="single" w:sz="4" w:space="0" w:color="auto"/>
            </w:tcBorders>
            <w:shd w:val="clear" w:color="auto" w:fill="auto"/>
            <w:noWrap/>
            <w:vAlign w:val="bottom"/>
            <w:hideMark/>
          </w:tcPr>
          <w:p w14:paraId="5E760495"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0.0473</w:t>
            </w:r>
          </w:p>
        </w:tc>
      </w:tr>
      <w:tr w:rsidR="00C7687C" w:rsidRPr="00862DA5" w14:paraId="1598103A" w14:textId="77777777" w:rsidTr="00C7687C">
        <w:trPr>
          <w:trHeight w:val="320"/>
        </w:trPr>
        <w:tc>
          <w:tcPr>
            <w:tcW w:w="2405" w:type="dxa"/>
            <w:tcBorders>
              <w:top w:val="nil"/>
              <w:left w:val="single" w:sz="4" w:space="0" w:color="auto"/>
              <w:bottom w:val="single" w:sz="4" w:space="0" w:color="auto"/>
              <w:right w:val="single" w:sz="4" w:space="0" w:color="auto"/>
            </w:tcBorders>
            <w:shd w:val="clear" w:color="D9E1F2" w:fill="D9E1F2"/>
            <w:noWrap/>
            <w:vAlign w:val="bottom"/>
            <w:hideMark/>
          </w:tcPr>
          <w:p w14:paraId="7752D81E"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410" w:type="dxa"/>
            <w:tcBorders>
              <w:top w:val="nil"/>
              <w:left w:val="nil"/>
              <w:bottom w:val="single" w:sz="4" w:space="0" w:color="auto"/>
              <w:right w:val="single" w:sz="4" w:space="0" w:color="auto"/>
            </w:tcBorders>
            <w:shd w:val="clear" w:color="D9E1F2" w:fill="D9E1F2"/>
            <w:noWrap/>
            <w:vAlign w:val="bottom"/>
            <w:hideMark/>
          </w:tcPr>
          <w:p w14:paraId="4039E21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0.1301</w:t>
            </w:r>
          </w:p>
        </w:tc>
        <w:tc>
          <w:tcPr>
            <w:tcW w:w="2551" w:type="dxa"/>
            <w:tcBorders>
              <w:top w:val="nil"/>
              <w:left w:val="nil"/>
              <w:bottom w:val="single" w:sz="4" w:space="0" w:color="auto"/>
              <w:right w:val="single" w:sz="4" w:space="0" w:color="auto"/>
            </w:tcBorders>
            <w:shd w:val="clear" w:color="D9E1F2" w:fill="D9E1F2"/>
            <w:noWrap/>
            <w:vAlign w:val="bottom"/>
            <w:hideMark/>
          </w:tcPr>
          <w:p w14:paraId="07A49668"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0.4732</w:t>
            </w:r>
          </w:p>
        </w:tc>
        <w:tc>
          <w:tcPr>
            <w:tcW w:w="2600" w:type="dxa"/>
            <w:tcBorders>
              <w:top w:val="nil"/>
              <w:left w:val="nil"/>
              <w:bottom w:val="single" w:sz="4" w:space="0" w:color="auto"/>
              <w:right w:val="single" w:sz="4" w:space="0" w:color="auto"/>
            </w:tcBorders>
            <w:shd w:val="clear" w:color="D9E1F2" w:fill="D9E1F2"/>
            <w:noWrap/>
            <w:vAlign w:val="bottom"/>
            <w:hideMark/>
          </w:tcPr>
          <w:p w14:paraId="502AD0C6"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0.0652</w:t>
            </w:r>
          </w:p>
        </w:tc>
      </w:tr>
      <w:tr w:rsidR="00C7687C" w:rsidRPr="00862DA5" w14:paraId="6E7B714E"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5B341D0"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lastRenderedPageBreak/>
              <w:t>Minimum return</w:t>
            </w:r>
          </w:p>
        </w:tc>
        <w:tc>
          <w:tcPr>
            <w:tcW w:w="2410" w:type="dxa"/>
            <w:tcBorders>
              <w:top w:val="nil"/>
              <w:left w:val="nil"/>
              <w:bottom w:val="single" w:sz="4" w:space="0" w:color="auto"/>
              <w:right w:val="single" w:sz="4" w:space="0" w:color="auto"/>
            </w:tcBorders>
            <w:shd w:val="clear" w:color="auto" w:fill="auto"/>
            <w:noWrap/>
            <w:vAlign w:val="bottom"/>
            <w:hideMark/>
          </w:tcPr>
          <w:p w14:paraId="48F079A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-0.0429</w:t>
            </w:r>
          </w:p>
        </w:tc>
        <w:tc>
          <w:tcPr>
            <w:tcW w:w="2551" w:type="dxa"/>
            <w:tcBorders>
              <w:top w:val="nil"/>
              <w:left w:val="nil"/>
              <w:bottom w:val="single" w:sz="4" w:space="0" w:color="auto"/>
              <w:right w:val="single" w:sz="4" w:space="0" w:color="auto"/>
            </w:tcBorders>
            <w:shd w:val="clear" w:color="auto" w:fill="auto"/>
            <w:noWrap/>
            <w:vAlign w:val="bottom"/>
            <w:hideMark/>
          </w:tcPr>
          <w:p w14:paraId="4C776171"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-0. 1189</w:t>
            </w:r>
          </w:p>
        </w:tc>
        <w:tc>
          <w:tcPr>
            <w:tcW w:w="2600" w:type="dxa"/>
            <w:tcBorders>
              <w:top w:val="nil"/>
              <w:left w:val="nil"/>
              <w:bottom w:val="single" w:sz="4" w:space="0" w:color="auto"/>
              <w:right w:val="single" w:sz="4" w:space="0" w:color="auto"/>
            </w:tcBorders>
            <w:shd w:val="clear" w:color="auto" w:fill="auto"/>
            <w:noWrap/>
            <w:vAlign w:val="bottom"/>
            <w:hideMark/>
          </w:tcPr>
          <w:p w14:paraId="1AE2163A"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0.0186</w:t>
            </w:r>
          </w:p>
        </w:tc>
      </w:tr>
      <w:tr w:rsidR="00C7687C" w:rsidRPr="00862DA5" w14:paraId="031ACD64" w14:textId="77777777" w:rsidTr="00C7687C">
        <w:trPr>
          <w:trHeight w:val="320"/>
        </w:trPr>
        <w:tc>
          <w:tcPr>
            <w:tcW w:w="2405" w:type="dxa"/>
            <w:tcBorders>
              <w:top w:val="nil"/>
              <w:left w:val="single" w:sz="4" w:space="0" w:color="auto"/>
              <w:bottom w:val="single" w:sz="4" w:space="0" w:color="auto"/>
              <w:right w:val="single" w:sz="4" w:space="0" w:color="auto"/>
            </w:tcBorders>
            <w:shd w:val="clear" w:color="D9E1F2" w:fill="D9E1F2"/>
            <w:noWrap/>
            <w:vAlign w:val="bottom"/>
            <w:hideMark/>
          </w:tcPr>
          <w:p w14:paraId="10B6AD0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410" w:type="dxa"/>
            <w:tcBorders>
              <w:top w:val="nil"/>
              <w:left w:val="nil"/>
              <w:bottom w:val="single" w:sz="4" w:space="0" w:color="auto"/>
              <w:right w:val="single" w:sz="4" w:space="0" w:color="auto"/>
            </w:tcBorders>
            <w:shd w:val="clear" w:color="D9E1F2" w:fill="D9E1F2"/>
            <w:noWrap/>
            <w:vAlign w:val="bottom"/>
            <w:hideMark/>
          </w:tcPr>
          <w:p w14:paraId="4B19C555"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0.0985</w:t>
            </w:r>
          </w:p>
        </w:tc>
        <w:tc>
          <w:tcPr>
            <w:tcW w:w="2551" w:type="dxa"/>
            <w:tcBorders>
              <w:top w:val="nil"/>
              <w:left w:val="nil"/>
              <w:bottom w:val="single" w:sz="4" w:space="0" w:color="auto"/>
              <w:right w:val="single" w:sz="4" w:space="0" w:color="auto"/>
            </w:tcBorders>
            <w:shd w:val="clear" w:color="D9E1F2" w:fill="D9E1F2"/>
            <w:noWrap/>
            <w:vAlign w:val="bottom"/>
            <w:hideMark/>
          </w:tcPr>
          <w:p w14:paraId="36B4202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0. 1621</w:t>
            </w:r>
          </w:p>
        </w:tc>
        <w:tc>
          <w:tcPr>
            <w:tcW w:w="2600" w:type="dxa"/>
            <w:tcBorders>
              <w:top w:val="nil"/>
              <w:left w:val="nil"/>
              <w:bottom w:val="single" w:sz="4" w:space="0" w:color="auto"/>
              <w:right w:val="single" w:sz="4" w:space="0" w:color="auto"/>
            </w:tcBorders>
            <w:shd w:val="clear" w:color="D9E1F2" w:fill="D9E1F2"/>
            <w:noWrap/>
            <w:vAlign w:val="bottom"/>
            <w:hideMark/>
          </w:tcPr>
          <w:p w14:paraId="37423C9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0.0791</w:t>
            </w:r>
          </w:p>
        </w:tc>
      </w:tr>
      <w:tr w:rsidR="00C7687C" w:rsidRPr="00862DA5" w14:paraId="643AFAC6"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6461DB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410" w:type="dxa"/>
            <w:tcBorders>
              <w:top w:val="nil"/>
              <w:left w:val="nil"/>
              <w:bottom w:val="single" w:sz="4" w:space="0" w:color="auto"/>
              <w:right w:val="single" w:sz="4" w:space="0" w:color="auto"/>
            </w:tcBorders>
            <w:shd w:val="clear" w:color="auto" w:fill="auto"/>
            <w:noWrap/>
            <w:vAlign w:val="bottom"/>
            <w:hideMark/>
          </w:tcPr>
          <w:p w14:paraId="3AEECBA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-0.1807</w:t>
            </w:r>
          </w:p>
        </w:tc>
        <w:tc>
          <w:tcPr>
            <w:tcW w:w="2551" w:type="dxa"/>
            <w:tcBorders>
              <w:top w:val="nil"/>
              <w:left w:val="nil"/>
              <w:bottom w:val="single" w:sz="4" w:space="0" w:color="auto"/>
              <w:right w:val="single" w:sz="4" w:space="0" w:color="auto"/>
            </w:tcBorders>
            <w:shd w:val="clear" w:color="auto" w:fill="auto"/>
            <w:noWrap/>
            <w:vAlign w:val="bottom"/>
            <w:hideMark/>
          </w:tcPr>
          <w:p w14:paraId="76078BCC"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0.1363</w:t>
            </w:r>
          </w:p>
        </w:tc>
        <w:tc>
          <w:tcPr>
            <w:tcW w:w="2600" w:type="dxa"/>
            <w:tcBorders>
              <w:top w:val="nil"/>
              <w:left w:val="nil"/>
              <w:bottom w:val="single" w:sz="4" w:space="0" w:color="auto"/>
              <w:right w:val="single" w:sz="4" w:space="0" w:color="auto"/>
            </w:tcBorders>
            <w:shd w:val="clear" w:color="auto" w:fill="auto"/>
            <w:noWrap/>
            <w:vAlign w:val="bottom"/>
            <w:hideMark/>
          </w:tcPr>
          <w:p w14:paraId="1A8B11EA"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-0.0407</w:t>
            </w:r>
          </w:p>
        </w:tc>
      </w:tr>
    </w:tbl>
    <w:p w14:paraId="50D3335B" w14:textId="77777777" w:rsidR="00C7687C" w:rsidRPr="00862DA5" w:rsidRDefault="00C7687C" w:rsidP="00310C74">
      <w:pPr>
        <w:jc w:val="center"/>
        <w:rPr>
          <w:i/>
          <w:iCs/>
          <w:lang w:val="en-US"/>
        </w:rPr>
      </w:pPr>
    </w:p>
    <w:p w14:paraId="3287DE62" w14:textId="77777777" w:rsidR="0015601F" w:rsidRPr="00862DA5" w:rsidRDefault="0015601F" w:rsidP="00310C74">
      <w:pPr>
        <w:jc w:val="center"/>
        <w:rPr>
          <w:i/>
          <w:iCs/>
          <w:lang w:val="en-US"/>
        </w:rPr>
      </w:pPr>
    </w:p>
    <w:p w14:paraId="2613AA3A" w14:textId="77777777" w:rsidR="0015601F" w:rsidRPr="00862DA5" w:rsidRDefault="0015601F" w:rsidP="00310C74">
      <w:pPr>
        <w:jc w:val="center"/>
        <w:rPr>
          <w:i/>
          <w:iCs/>
          <w:lang w:val="en-US"/>
        </w:rPr>
      </w:pPr>
    </w:p>
    <w:tbl>
      <w:tblPr>
        <w:tblW w:w="9923" w:type="dxa"/>
        <w:tblCellMar>
          <w:left w:w="70" w:type="dxa"/>
          <w:right w:w="70" w:type="dxa"/>
        </w:tblCellMar>
        <w:tblLook w:val="04A0" w:firstRow="1" w:lastRow="0" w:firstColumn="1" w:lastColumn="0" w:noHBand="0" w:noVBand="1"/>
      </w:tblPr>
      <w:tblGrid>
        <w:gridCol w:w="2380"/>
        <w:gridCol w:w="2500"/>
        <w:gridCol w:w="2500"/>
        <w:gridCol w:w="2543"/>
      </w:tblGrid>
      <w:tr w:rsidR="0015601F" w:rsidRPr="00862DA5" w14:paraId="07BBD087" w14:textId="77777777" w:rsidTr="0015601F">
        <w:trPr>
          <w:trHeight w:val="320"/>
        </w:trPr>
        <w:tc>
          <w:tcPr>
            <w:tcW w:w="2380" w:type="dxa"/>
            <w:tcBorders>
              <w:top w:val="single" w:sz="4" w:space="0" w:color="auto"/>
              <w:left w:val="nil"/>
              <w:bottom w:val="single" w:sz="4" w:space="0" w:color="auto"/>
              <w:right w:val="nil"/>
            </w:tcBorders>
            <w:shd w:val="clear" w:color="auto" w:fill="auto"/>
            <w:noWrap/>
            <w:vAlign w:val="bottom"/>
            <w:hideMark/>
          </w:tcPr>
          <w:p w14:paraId="3EE4354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500" w:type="dxa"/>
            <w:tcBorders>
              <w:top w:val="single" w:sz="4" w:space="0" w:color="auto"/>
              <w:left w:val="nil"/>
              <w:bottom w:val="single" w:sz="4" w:space="0" w:color="auto"/>
              <w:right w:val="nil"/>
            </w:tcBorders>
            <w:shd w:val="clear" w:color="auto" w:fill="auto"/>
            <w:noWrap/>
            <w:vAlign w:val="bottom"/>
            <w:hideMark/>
          </w:tcPr>
          <w:p w14:paraId="53DC40E7"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00" w:type="dxa"/>
            <w:tcBorders>
              <w:top w:val="single" w:sz="4" w:space="0" w:color="auto"/>
              <w:left w:val="nil"/>
              <w:bottom w:val="single" w:sz="4" w:space="0" w:color="auto"/>
              <w:right w:val="nil"/>
            </w:tcBorders>
            <w:shd w:val="clear" w:color="auto" w:fill="auto"/>
            <w:noWrap/>
            <w:vAlign w:val="bottom"/>
            <w:hideMark/>
          </w:tcPr>
          <w:p w14:paraId="43B2B788" w14:textId="77777777" w:rsidR="0015601F" w:rsidRPr="00862DA5" w:rsidRDefault="0015601F">
            <w:pPr>
              <w:rPr>
                <w:rFonts w:ascii="Calibri" w:hAnsi="Calibri" w:cs="Calibri"/>
                <w:b/>
                <w:bCs/>
                <w:color w:val="44546A"/>
                <w:sz w:val="20"/>
                <w:szCs w:val="20"/>
                <w:lang w:val="en-US"/>
              </w:rPr>
            </w:pPr>
            <w:proofErr w:type="gramStart"/>
            <w:r w:rsidRPr="00862DA5">
              <w:rPr>
                <w:rFonts w:ascii="Calibri" w:hAnsi="Calibri" w:cs="Calibri"/>
                <w:b/>
                <w:bCs/>
                <w:color w:val="44546A"/>
                <w:sz w:val="20"/>
                <w:szCs w:val="20"/>
                <w:lang w:val="en-US"/>
              </w:rPr>
              <w:t>Equally—weighted</w:t>
            </w:r>
            <w:proofErr w:type="gramEnd"/>
            <w:r w:rsidRPr="00862DA5">
              <w:rPr>
                <w:rFonts w:ascii="Calibri" w:hAnsi="Calibri" w:cs="Calibri"/>
                <w:b/>
                <w:bCs/>
                <w:color w:val="44546A"/>
                <w:sz w:val="20"/>
                <w:szCs w:val="20"/>
                <w:lang w:val="en-US"/>
              </w:rPr>
              <w:t xml:space="preserve"> portfolio</w:t>
            </w:r>
          </w:p>
        </w:tc>
        <w:tc>
          <w:tcPr>
            <w:tcW w:w="2543" w:type="dxa"/>
            <w:tcBorders>
              <w:top w:val="single" w:sz="4" w:space="0" w:color="auto"/>
              <w:left w:val="nil"/>
              <w:bottom w:val="single" w:sz="4" w:space="0" w:color="auto"/>
              <w:right w:val="nil"/>
            </w:tcBorders>
            <w:shd w:val="clear" w:color="auto" w:fill="auto"/>
            <w:noWrap/>
            <w:vAlign w:val="bottom"/>
            <w:hideMark/>
          </w:tcPr>
          <w:p w14:paraId="3A37BF89"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Minimum variance portfolio</w:t>
            </w:r>
          </w:p>
        </w:tc>
      </w:tr>
      <w:tr w:rsidR="0015601F" w:rsidRPr="00862DA5" w14:paraId="201F178E" w14:textId="77777777" w:rsidTr="0015601F">
        <w:trPr>
          <w:trHeight w:val="320"/>
        </w:trPr>
        <w:tc>
          <w:tcPr>
            <w:tcW w:w="2380" w:type="dxa"/>
            <w:tcBorders>
              <w:top w:val="nil"/>
              <w:left w:val="nil"/>
              <w:bottom w:val="nil"/>
              <w:right w:val="nil"/>
            </w:tcBorders>
            <w:shd w:val="clear" w:color="auto" w:fill="auto"/>
            <w:noWrap/>
            <w:vAlign w:val="bottom"/>
            <w:hideMark/>
          </w:tcPr>
          <w:p w14:paraId="4B3B71C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500" w:type="dxa"/>
            <w:tcBorders>
              <w:top w:val="nil"/>
              <w:left w:val="nil"/>
              <w:bottom w:val="nil"/>
              <w:right w:val="nil"/>
            </w:tcBorders>
            <w:shd w:val="clear" w:color="auto" w:fill="auto"/>
            <w:noWrap/>
            <w:vAlign w:val="bottom"/>
            <w:hideMark/>
          </w:tcPr>
          <w:p w14:paraId="4288DBF9"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0.0265</w:t>
            </w:r>
          </w:p>
        </w:tc>
        <w:tc>
          <w:tcPr>
            <w:tcW w:w="2500" w:type="dxa"/>
            <w:tcBorders>
              <w:top w:val="nil"/>
              <w:left w:val="nil"/>
              <w:bottom w:val="nil"/>
              <w:right w:val="nil"/>
            </w:tcBorders>
            <w:shd w:val="clear" w:color="auto" w:fill="auto"/>
            <w:noWrap/>
            <w:vAlign w:val="bottom"/>
            <w:hideMark/>
          </w:tcPr>
          <w:p w14:paraId="176BC2E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0. 1145</w:t>
            </w:r>
          </w:p>
        </w:tc>
        <w:tc>
          <w:tcPr>
            <w:tcW w:w="2543" w:type="dxa"/>
            <w:tcBorders>
              <w:top w:val="nil"/>
              <w:left w:val="nil"/>
              <w:bottom w:val="nil"/>
              <w:right w:val="nil"/>
            </w:tcBorders>
            <w:shd w:val="clear" w:color="auto" w:fill="auto"/>
            <w:noWrap/>
            <w:vAlign w:val="bottom"/>
            <w:hideMark/>
          </w:tcPr>
          <w:p w14:paraId="1C2059BB"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0.0473</w:t>
            </w:r>
          </w:p>
        </w:tc>
      </w:tr>
      <w:tr w:rsidR="0015601F" w:rsidRPr="00862DA5" w14:paraId="5DCB4ACC" w14:textId="77777777" w:rsidTr="0015601F">
        <w:trPr>
          <w:trHeight w:val="320"/>
        </w:trPr>
        <w:tc>
          <w:tcPr>
            <w:tcW w:w="2380" w:type="dxa"/>
            <w:tcBorders>
              <w:top w:val="single" w:sz="4" w:space="0" w:color="auto"/>
              <w:left w:val="nil"/>
              <w:bottom w:val="single" w:sz="4" w:space="0" w:color="auto"/>
              <w:right w:val="nil"/>
            </w:tcBorders>
            <w:shd w:val="clear" w:color="auto" w:fill="auto"/>
            <w:noWrap/>
            <w:vAlign w:val="bottom"/>
            <w:hideMark/>
          </w:tcPr>
          <w:p w14:paraId="63D75409"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500" w:type="dxa"/>
            <w:tcBorders>
              <w:top w:val="single" w:sz="4" w:space="0" w:color="auto"/>
              <w:left w:val="nil"/>
              <w:bottom w:val="single" w:sz="4" w:space="0" w:color="auto"/>
              <w:right w:val="nil"/>
            </w:tcBorders>
            <w:shd w:val="clear" w:color="auto" w:fill="auto"/>
            <w:noWrap/>
            <w:vAlign w:val="bottom"/>
            <w:hideMark/>
          </w:tcPr>
          <w:p w14:paraId="56BFD8FA"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0.1301</w:t>
            </w:r>
          </w:p>
        </w:tc>
        <w:tc>
          <w:tcPr>
            <w:tcW w:w="2500" w:type="dxa"/>
            <w:tcBorders>
              <w:top w:val="single" w:sz="4" w:space="0" w:color="auto"/>
              <w:left w:val="nil"/>
              <w:bottom w:val="single" w:sz="4" w:space="0" w:color="auto"/>
              <w:right w:val="nil"/>
            </w:tcBorders>
            <w:shd w:val="clear" w:color="auto" w:fill="auto"/>
            <w:noWrap/>
            <w:vAlign w:val="bottom"/>
            <w:hideMark/>
          </w:tcPr>
          <w:p w14:paraId="18F3C46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0.4732</w:t>
            </w:r>
          </w:p>
        </w:tc>
        <w:tc>
          <w:tcPr>
            <w:tcW w:w="2543" w:type="dxa"/>
            <w:tcBorders>
              <w:top w:val="single" w:sz="4" w:space="0" w:color="auto"/>
              <w:left w:val="nil"/>
              <w:bottom w:val="single" w:sz="4" w:space="0" w:color="auto"/>
              <w:right w:val="nil"/>
            </w:tcBorders>
            <w:shd w:val="clear" w:color="auto" w:fill="auto"/>
            <w:noWrap/>
            <w:vAlign w:val="bottom"/>
            <w:hideMark/>
          </w:tcPr>
          <w:p w14:paraId="5AC1F470"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0.0652</w:t>
            </w:r>
          </w:p>
        </w:tc>
      </w:tr>
      <w:tr w:rsidR="0015601F" w:rsidRPr="00862DA5" w14:paraId="4FDE49A7"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5B01535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Minimum return</w:t>
            </w:r>
          </w:p>
        </w:tc>
        <w:tc>
          <w:tcPr>
            <w:tcW w:w="2500" w:type="dxa"/>
            <w:tcBorders>
              <w:top w:val="nil"/>
              <w:left w:val="nil"/>
              <w:bottom w:val="single" w:sz="4" w:space="0" w:color="auto"/>
              <w:right w:val="nil"/>
            </w:tcBorders>
            <w:shd w:val="clear" w:color="auto" w:fill="auto"/>
            <w:noWrap/>
            <w:vAlign w:val="bottom"/>
            <w:hideMark/>
          </w:tcPr>
          <w:p w14:paraId="5CE72BA3"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-0.0429</w:t>
            </w:r>
          </w:p>
        </w:tc>
        <w:tc>
          <w:tcPr>
            <w:tcW w:w="2500" w:type="dxa"/>
            <w:tcBorders>
              <w:top w:val="nil"/>
              <w:left w:val="nil"/>
              <w:bottom w:val="single" w:sz="4" w:space="0" w:color="auto"/>
              <w:right w:val="nil"/>
            </w:tcBorders>
            <w:shd w:val="clear" w:color="auto" w:fill="auto"/>
            <w:noWrap/>
            <w:vAlign w:val="bottom"/>
            <w:hideMark/>
          </w:tcPr>
          <w:p w14:paraId="2B81EFC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-0. 1189</w:t>
            </w:r>
          </w:p>
        </w:tc>
        <w:tc>
          <w:tcPr>
            <w:tcW w:w="2543" w:type="dxa"/>
            <w:tcBorders>
              <w:top w:val="nil"/>
              <w:left w:val="nil"/>
              <w:bottom w:val="single" w:sz="4" w:space="0" w:color="auto"/>
              <w:right w:val="nil"/>
            </w:tcBorders>
            <w:shd w:val="clear" w:color="auto" w:fill="auto"/>
            <w:noWrap/>
            <w:vAlign w:val="bottom"/>
            <w:hideMark/>
          </w:tcPr>
          <w:p w14:paraId="32D927F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0.0186</w:t>
            </w:r>
          </w:p>
        </w:tc>
      </w:tr>
      <w:tr w:rsidR="0015601F" w:rsidRPr="00862DA5" w14:paraId="648C2E8E"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1DBC643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500" w:type="dxa"/>
            <w:tcBorders>
              <w:top w:val="nil"/>
              <w:left w:val="nil"/>
              <w:bottom w:val="single" w:sz="4" w:space="0" w:color="auto"/>
              <w:right w:val="nil"/>
            </w:tcBorders>
            <w:shd w:val="clear" w:color="auto" w:fill="auto"/>
            <w:noWrap/>
            <w:vAlign w:val="bottom"/>
            <w:hideMark/>
          </w:tcPr>
          <w:p w14:paraId="5F5E201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0.0985</w:t>
            </w:r>
          </w:p>
        </w:tc>
        <w:tc>
          <w:tcPr>
            <w:tcW w:w="2500" w:type="dxa"/>
            <w:tcBorders>
              <w:top w:val="nil"/>
              <w:left w:val="nil"/>
              <w:bottom w:val="single" w:sz="4" w:space="0" w:color="auto"/>
              <w:right w:val="nil"/>
            </w:tcBorders>
            <w:shd w:val="clear" w:color="auto" w:fill="auto"/>
            <w:noWrap/>
            <w:vAlign w:val="bottom"/>
            <w:hideMark/>
          </w:tcPr>
          <w:p w14:paraId="390231CE"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0. 1621</w:t>
            </w:r>
          </w:p>
        </w:tc>
        <w:tc>
          <w:tcPr>
            <w:tcW w:w="2543" w:type="dxa"/>
            <w:tcBorders>
              <w:top w:val="nil"/>
              <w:left w:val="nil"/>
              <w:bottom w:val="single" w:sz="4" w:space="0" w:color="auto"/>
              <w:right w:val="nil"/>
            </w:tcBorders>
            <w:shd w:val="clear" w:color="auto" w:fill="auto"/>
            <w:noWrap/>
            <w:vAlign w:val="bottom"/>
            <w:hideMark/>
          </w:tcPr>
          <w:p w14:paraId="243D73B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0.0791</w:t>
            </w:r>
          </w:p>
        </w:tc>
      </w:tr>
      <w:tr w:rsidR="0015601F" w:rsidRPr="00862DA5" w14:paraId="1DDE8113"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70E2F4F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500" w:type="dxa"/>
            <w:tcBorders>
              <w:top w:val="nil"/>
              <w:left w:val="nil"/>
              <w:bottom w:val="single" w:sz="4" w:space="0" w:color="auto"/>
              <w:right w:val="nil"/>
            </w:tcBorders>
            <w:shd w:val="clear" w:color="auto" w:fill="auto"/>
            <w:noWrap/>
            <w:vAlign w:val="bottom"/>
            <w:hideMark/>
          </w:tcPr>
          <w:p w14:paraId="4DDBCF51"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-0.1807</w:t>
            </w:r>
          </w:p>
        </w:tc>
        <w:tc>
          <w:tcPr>
            <w:tcW w:w="2500" w:type="dxa"/>
            <w:tcBorders>
              <w:top w:val="nil"/>
              <w:left w:val="nil"/>
              <w:bottom w:val="single" w:sz="4" w:space="0" w:color="auto"/>
              <w:right w:val="nil"/>
            </w:tcBorders>
            <w:shd w:val="clear" w:color="auto" w:fill="auto"/>
            <w:noWrap/>
            <w:vAlign w:val="bottom"/>
            <w:hideMark/>
          </w:tcPr>
          <w:p w14:paraId="04AD236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0.1363</w:t>
            </w:r>
          </w:p>
        </w:tc>
        <w:tc>
          <w:tcPr>
            <w:tcW w:w="2543" w:type="dxa"/>
            <w:tcBorders>
              <w:top w:val="nil"/>
              <w:left w:val="nil"/>
              <w:bottom w:val="single" w:sz="4" w:space="0" w:color="auto"/>
              <w:right w:val="nil"/>
            </w:tcBorders>
            <w:shd w:val="clear" w:color="auto" w:fill="auto"/>
            <w:noWrap/>
            <w:vAlign w:val="bottom"/>
            <w:hideMark/>
          </w:tcPr>
          <w:p w14:paraId="013308A0"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-0.0407</w:t>
            </w:r>
          </w:p>
        </w:tc>
      </w:tr>
    </w:tbl>
    <w:p w14:paraId="7A464ACC" w14:textId="77777777" w:rsidR="0015601F" w:rsidRPr="00862DA5" w:rsidRDefault="0015601F" w:rsidP="00310C74">
      <w:pPr>
        <w:jc w:val="center"/>
        <w:rPr>
          <w:i/>
          <w:iCs/>
          <w:lang w:val="en-US"/>
        </w:rPr>
      </w:pPr>
    </w:p>
    <w:p w14:paraId="25B5DEAC" w14:textId="42B2A2DF" w:rsidR="0015601F" w:rsidRDefault="005B2870" w:rsidP="00310C74">
      <w:pPr>
        <w:jc w:val="center"/>
        <w:rPr>
          <w:i/>
          <w:iCs/>
          <w:lang w:val="en-US"/>
        </w:rPr>
      </w:pPr>
      <w:r>
        <w:rPr>
          <w:i/>
          <w:iCs/>
          <w:lang w:val="en-US"/>
        </w:rPr>
        <w:t>Volatility:</w:t>
      </w:r>
    </w:p>
    <w:tbl>
      <w:tblPr>
        <w:tblW w:w="9060" w:type="dxa"/>
        <w:tblCellMar>
          <w:left w:w="70" w:type="dxa"/>
          <w:right w:w="70" w:type="dxa"/>
        </w:tblCellMar>
        <w:tblLook w:val="04A0" w:firstRow="1" w:lastRow="0" w:firstColumn="1" w:lastColumn="0" w:noHBand="0" w:noVBand="1"/>
      </w:tblPr>
      <w:tblGrid>
        <w:gridCol w:w="2760"/>
        <w:gridCol w:w="3060"/>
        <w:gridCol w:w="3240"/>
      </w:tblGrid>
      <w:tr w:rsidR="005B2870" w14:paraId="2B12E021" w14:textId="77777777" w:rsidTr="005B2870">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hideMark/>
          </w:tcPr>
          <w:p w14:paraId="2BC00FA7" w14:textId="77777777" w:rsidR="005B2870" w:rsidRDefault="005B2870">
            <w:pPr>
              <w:rPr>
                <w:rFonts w:ascii="Calibri" w:hAnsi="Calibri" w:cs="Calibri"/>
                <w:b/>
                <w:bCs/>
                <w:color w:val="44546A"/>
                <w:sz w:val="20"/>
                <w:szCs w:val="20"/>
              </w:rPr>
            </w:pPr>
            <w:proofErr w:type="spellStart"/>
            <w:r>
              <w:rPr>
                <w:rFonts w:ascii="Calibri" w:hAnsi="Calibri" w:cs="Calibri"/>
                <w:b/>
                <w:bCs/>
                <w:color w:val="44546A"/>
                <w:sz w:val="20"/>
                <w:szCs w:val="20"/>
              </w:rPr>
              <w:t>Correlation</w:t>
            </w:r>
            <w:proofErr w:type="spellEnd"/>
            <w:r>
              <w:rPr>
                <w:rFonts w:ascii="Calibri" w:hAnsi="Calibri" w:cs="Calibri"/>
                <w:b/>
                <w:bCs/>
                <w:color w:val="44546A"/>
                <w:sz w:val="20"/>
                <w:szCs w:val="20"/>
              </w:rPr>
              <w:t xml:space="preserve"> Matrix</w:t>
            </w:r>
          </w:p>
        </w:tc>
        <w:tc>
          <w:tcPr>
            <w:tcW w:w="3060" w:type="dxa"/>
            <w:tcBorders>
              <w:top w:val="single" w:sz="4" w:space="0" w:color="auto"/>
              <w:left w:val="nil"/>
              <w:bottom w:val="single" w:sz="4" w:space="0" w:color="auto"/>
              <w:right w:val="single" w:sz="4" w:space="0" w:color="auto"/>
            </w:tcBorders>
            <w:shd w:val="clear" w:color="D9E1F2" w:fill="D9E1F2"/>
            <w:noWrap/>
            <w:hideMark/>
          </w:tcPr>
          <w:p w14:paraId="0225486C" w14:textId="77777777" w:rsidR="005B2870" w:rsidRDefault="005B2870">
            <w:pPr>
              <w:rPr>
                <w:rFonts w:ascii="Calibri" w:hAnsi="Calibri" w:cs="Calibri"/>
                <w:b/>
                <w:bCs/>
                <w:color w:val="44546A"/>
                <w:sz w:val="20"/>
                <w:szCs w:val="20"/>
              </w:rPr>
            </w:pPr>
            <w:r>
              <w:rPr>
                <w:rFonts w:ascii="Calibri" w:hAnsi="Calibri" w:cs="Calibri"/>
                <w:b/>
                <w:bCs/>
                <w:color w:val="44546A"/>
                <w:sz w:val="20"/>
                <w:szCs w:val="20"/>
              </w:rPr>
              <w:t>AAR</w:t>
            </w:r>
          </w:p>
        </w:tc>
        <w:tc>
          <w:tcPr>
            <w:tcW w:w="3240" w:type="dxa"/>
            <w:tcBorders>
              <w:top w:val="single" w:sz="4" w:space="0" w:color="auto"/>
              <w:left w:val="nil"/>
              <w:bottom w:val="single" w:sz="4" w:space="0" w:color="auto"/>
              <w:right w:val="single" w:sz="4" w:space="0" w:color="auto"/>
            </w:tcBorders>
            <w:shd w:val="clear" w:color="D9E1F2" w:fill="D9E1F2"/>
            <w:noWrap/>
            <w:hideMark/>
          </w:tcPr>
          <w:p w14:paraId="6B580709" w14:textId="77777777" w:rsidR="005B2870" w:rsidRDefault="005B2870">
            <w:pPr>
              <w:rPr>
                <w:rFonts w:ascii="Calibri" w:hAnsi="Calibri" w:cs="Calibri"/>
                <w:b/>
                <w:bCs/>
                <w:color w:val="44546A"/>
                <w:sz w:val="20"/>
                <w:szCs w:val="20"/>
              </w:rPr>
            </w:pPr>
            <w:proofErr w:type="spellStart"/>
            <w:r>
              <w:rPr>
                <w:rFonts w:ascii="Calibri" w:hAnsi="Calibri" w:cs="Calibri"/>
                <w:b/>
                <w:bCs/>
                <w:color w:val="44546A"/>
                <w:sz w:val="20"/>
                <w:szCs w:val="20"/>
              </w:rPr>
              <w:t>Volatility</w:t>
            </w:r>
            <w:proofErr w:type="spellEnd"/>
          </w:p>
        </w:tc>
      </w:tr>
      <w:tr w:rsidR="005B2870" w14:paraId="7C60E767" w14:textId="77777777" w:rsidTr="005B2870">
        <w:trPr>
          <w:trHeight w:val="320"/>
        </w:trPr>
        <w:tc>
          <w:tcPr>
            <w:tcW w:w="2760" w:type="dxa"/>
            <w:tcBorders>
              <w:top w:val="nil"/>
              <w:left w:val="single" w:sz="4" w:space="0" w:color="auto"/>
              <w:bottom w:val="single" w:sz="4" w:space="0" w:color="auto"/>
              <w:right w:val="single" w:sz="4" w:space="0" w:color="auto"/>
            </w:tcBorders>
            <w:shd w:val="clear" w:color="auto" w:fill="auto"/>
            <w:noWrap/>
            <w:hideMark/>
          </w:tcPr>
          <w:p w14:paraId="0E2D2623" w14:textId="77777777" w:rsidR="005B2870" w:rsidRDefault="005B2870">
            <w:pPr>
              <w:rPr>
                <w:rFonts w:ascii="Calibri" w:hAnsi="Calibri" w:cs="Calibri"/>
                <w:b/>
                <w:bCs/>
                <w:color w:val="44546A"/>
                <w:sz w:val="20"/>
                <w:szCs w:val="20"/>
              </w:rPr>
            </w:pPr>
            <w:r>
              <w:rPr>
                <w:rFonts w:ascii="Calibri" w:hAnsi="Calibri" w:cs="Calibri"/>
                <w:b/>
                <w:bCs/>
                <w:color w:val="44546A"/>
                <w:sz w:val="20"/>
                <w:szCs w:val="20"/>
              </w:rPr>
              <w:t>AAR</w:t>
            </w:r>
          </w:p>
        </w:tc>
        <w:tc>
          <w:tcPr>
            <w:tcW w:w="3060" w:type="dxa"/>
            <w:tcBorders>
              <w:top w:val="nil"/>
              <w:left w:val="nil"/>
              <w:bottom w:val="single" w:sz="4" w:space="0" w:color="auto"/>
              <w:right w:val="single" w:sz="4" w:space="0" w:color="auto"/>
            </w:tcBorders>
            <w:shd w:val="clear" w:color="auto" w:fill="auto"/>
            <w:noWrap/>
            <w:vAlign w:val="bottom"/>
            <w:hideMark/>
          </w:tcPr>
          <w:p w14:paraId="751CBF83"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1</w:t>
            </w:r>
          </w:p>
        </w:tc>
        <w:tc>
          <w:tcPr>
            <w:tcW w:w="3240" w:type="dxa"/>
            <w:tcBorders>
              <w:top w:val="nil"/>
              <w:left w:val="nil"/>
              <w:bottom w:val="single" w:sz="4" w:space="0" w:color="auto"/>
              <w:right w:val="single" w:sz="4" w:space="0" w:color="auto"/>
            </w:tcBorders>
            <w:shd w:val="clear" w:color="auto" w:fill="auto"/>
            <w:noWrap/>
            <w:vAlign w:val="bottom"/>
            <w:hideMark/>
          </w:tcPr>
          <w:p w14:paraId="6AEC0AA2"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0,106</w:t>
            </w:r>
          </w:p>
        </w:tc>
      </w:tr>
      <w:tr w:rsidR="005B2870" w14:paraId="01B76D1B" w14:textId="77777777" w:rsidTr="005B2870">
        <w:trPr>
          <w:trHeight w:val="320"/>
        </w:trPr>
        <w:tc>
          <w:tcPr>
            <w:tcW w:w="2760" w:type="dxa"/>
            <w:tcBorders>
              <w:top w:val="nil"/>
              <w:left w:val="single" w:sz="4" w:space="0" w:color="auto"/>
              <w:bottom w:val="single" w:sz="4" w:space="0" w:color="auto"/>
              <w:right w:val="single" w:sz="4" w:space="0" w:color="auto"/>
            </w:tcBorders>
            <w:shd w:val="clear" w:color="D9E1F2" w:fill="D9E1F2"/>
            <w:noWrap/>
            <w:hideMark/>
          </w:tcPr>
          <w:p w14:paraId="2C9A52AE" w14:textId="77777777" w:rsidR="005B2870" w:rsidRDefault="005B2870">
            <w:pPr>
              <w:rPr>
                <w:rFonts w:ascii="Calibri" w:hAnsi="Calibri" w:cs="Calibri"/>
                <w:b/>
                <w:bCs/>
                <w:color w:val="44546A"/>
                <w:sz w:val="20"/>
                <w:szCs w:val="20"/>
              </w:rPr>
            </w:pPr>
            <w:proofErr w:type="spellStart"/>
            <w:r>
              <w:rPr>
                <w:rFonts w:ascii="Calibri" w:hAnsi="Calibri" w:cs="Calibri"/>
                <w:b/>
                <w:bCs/>
                <w:color w:val="44546A"/>
                <w:sz w:val="20"/>
                <w:szCs w:val="20"/>
              </w:rPr>
              <w:t>Volatility</w:t>
            </w:r>
            <w:proofErr w:type="spellEnd"/>
          </w:p>
        </w:tc>
        <w:tc>
          <w:tcPr>
            <w:tcW w:w="3060" w:type="dxa"/>
            <w:tcBorders>
              <w:top w:val="nil"/>
              <w:left w:val="nil"/>
              <w:bottom w:val="single" w:sz="4" w:space="0" w:color="auto"/>
              <w:right w:val="single" w:sz="4" w:space="0" w:color="auto"/>
            </w:tcBorders>
            <w:shd w:val="clear" w:color="D9E1F2" w:fill="D9E1F2"/>
            <w:noWrap/>
            <w:vAlign w:val="bottom"/>
            <w:hideMark/>
          </w:tcPr>
          <w:p w14:paraId="3762A538"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0,106</w:t>
            </w:r>
          </w:p>
        </w:tc>
        <w:tc>
          <w:tcPr>
            <w:tcW w:w="3240" w:type="dxa"/>
            <w:tcBorders>
              <w:top w:val="nil"/>
              <w:left w:val="nil"/>
              <w:bottom w:val="single" w:sz="4" w:space="0" w:color="auto"/>
              <w:right w:val="single" w:sz="4" w:space="0" w:color="auto"/>
            </w:tcBorders>
            <w:shd w:val="clear" w:color="D9E1F2" w:fill="D9E1F2"/>
            <w:noWrap/>
            <w:vAlign w:val="bottom"/>
            <w:hideMark/>
          </w:tcPr>
          <w:p w14:paraId="5E691E2C"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1</w:t>
            </w:r>
          </w:p>
        </w:tc>
      </w:tr>
    </w:tbl>
    <w:p w14:paraId="741263D8" w14:textId="77777777" w:rsidR="005B2870" w:rsidRDefault="005B2870" w:rsidP="00310C74">
      <w:pPr>
        <w:jc w:val="center"/>
        <w:rPr>
          <w:i/>
          <w:iCs/>
          <w:lang w:val="en-US"/>
        </w:rPr>
      </w:pPr>
    </w:p>
    <w:p w14:paraId="44E3967A" w14:textId="77777777" w:rsidR="005B2870" w:rsidRDefault="005B2870" w:rsidP="00310C74">
      <w:pPr>
        <w:jc w:val="center"/>
        <w:rPr>
          <w:i/>
          <w:iCs/>
          <w:lang w:val="en-US"/>
        </w:rPr>
      </w:pPr>
    </w:p>
    <w:p w14:paraId="1916EB01" w14:textId="77777777" w:rsidR="005B2870" w:rsidRPr="00862DA5" w:rsidRDefault="005B2870" w:rsidP="00310C74">
      <w:pPr>
        <w:jc w:val="center"/>
        <w:rPr>
          <w:i/>
          <w:iCs/>
          <w:lang w:val="en-US"/>
        </w:rPr>
      </w:pPr>
    </w:p>
    <w:sectPr w:rsidR="005B2870" w:rsidRPr="00862DA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D991" w14:textId="77777777" w:rsidR="00B624C8" w:rsidRDefault="00B624C8" w:rsidP="004062B5">
      <w:r>
        <w:separator/>
      </w:r>
    </w:p>
  </w:endnote>
  <w:endnote w:type="continuationSeparator" w:id="0">
    <w:p w14:paraId="427E7617" w14:textId="77777777" w:rsidR="00B624C8" w:rsidRDefault="00B624C8" w:rsidP="0040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0F2CB" w14:textId="77777777" w:rsidR="00B624C8" w:rsidRDefault="00B624C8" w:rsidP="004062B5">
      <w:r>
        <w:separator/>
      </w:r>
    </w:p>
  </w:footnote>
  <w:footnote w:type="continuationSeparator" w:id="0">
    <w:p w14:paraId="19778ABC" w14:textId="77777777" w:rsidR="00B624C8" w:rsidRDefault="00B624C8" w:rsidP="00406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0694" w14:textId="3C95265D" w:rsidR="004062B5" w:rsidRDefault="004062B5">
    <w:pPr>
      <w:pStyle w:val="Topptekst"/>
    </w:pPr>
    <w:proofErr w:type="spellStart"/>
    <w:r>
      <w:t>Assignment</w:t>
    </w:r>
    <w:proofErr w:type="spellEnd"/>
    <w:r>
      <w:t xml:space="preserve"> 1 – </w:t>
    </w:r>
    <w:proofErr w:type="spellStart"/>
    <w:r>
      <w:t>Text</w:t>
    </w:r>
    <w:proofErr w:type="spellEnd"/>
    <w:r>
      <w:t xml:space="preserve"> and </w:t>
    </w:r>
    <w:proofErr w:type="spellStart"/>
    <w:r>
      <w:t>graphs</w:t>
    </w:r>
    <w:proofErr w:type="spellEnd"/>
    <w:r>
      <w:t xml:space="preserve"> for final </w:t>
    </w:r>
    <w:proofErr w:type="spellStart"/>
    <w:r>
      <w:t>deliverable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349C0"/>
    <w:multiLevelType w:val="multilevel"/>
    <w:tmpl w:val="075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00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35"/>
    <w:rsid w:val="000B50E1"/>
    <w:rsid w:val="0015601F"/>
    <w:rsid w:val="00310C74"/>
    <w:rsid w:val="00332ABC"/>
    <w:rsid w:val="004062B5"/>
    <w:rsid w:val="004B2A19"/>
    <w:rsid w:val="00534969"/>
    <w:rsid w:val="00563BFC"/>
    <w:rsid w:val="005B2870"/>
    <w:rsid w:val="00612649"/>
    <w:rsid w:val="006B5968"/>
    <w:rsid w:val="00862DA5"/>
    <w:rsid w:val="00A53D40"/>
    <w:rsid w:val="00B624C8"/>
    <w:rsid w:val="00BD3121"/>
    <w:rsid w:val="00C54C35"/>
    <w:rsid w:val="00C7687C"/>
    <w:rsid w:val="00DE2029"/>
    <w:rsid w:val="00F448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DD0E3C9"/>
  <w15:chartTrackingRefBased/>
  <w15:docId w15:val="{8C1C2F53-0BC0-0441-8C73-E87A812F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7C"/>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534969"/>
    <w:pPr>
      <w:spacing w:before="100" w:beforeAutospacing="1" w:after="100" w:afterAutospacing="1"/>
    </w:pPr>
  </w:style>
  <w:style w:type="paragraph" w:styleId="Topptekst">
    <w:name w:val="header"/>
    <w:basedOn w:val="Normal"/>
    <w:link w:val="TopptekstTegn"/>
    <w:uiPriority w:val="99"/>
    <w:unhideWhenUsed/>
    <w:rsid w:val="004062B5"/>
    <w:pPr>
      <w:tabs>
        <w:tab w:val="center" w:pos="4536"/>
        <w:tab w:val="right" w:pos="9072"/>
      </w:tabs>
    </w:pPr>
  </w:style>
  <w:style w:type="character" w:customStyle="1" w:styleId="TopptekstTegn">
    <w:name w:val="Topptekst Tegn"/>
    <w:basedOn w:val="Standardskriftforavsnitt"/>
    <w:link w:val="Topptekst"/>
    <w:uiPriority w:val="99"/>
    <w:rsid w:val="004062B5"/>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4062B5"/>
    <w:pPr>
      <w:tabs>
        <w:tab w:val="center" w:pos="4536"/>
        <w:tab w:val="right" w:pos="9072"/>
      </w:tabs>
    </w:pPr>
  </w:style>
  <w:style w:type="character" w:customStyle="1" w:styleId="BunntekstTegn">
    <w:name w:val="Bunntekst Tegn"/>
    <w:basedOn w:val="Standardskriftforavsnitt"/>
    <w:link w:val="Bunntekst"/>
    <w:uiPriority w:val="99"/>
    <w:rsid w:val="004062B5"/>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53">
      <w:bodyDiv w:val="1"/>
      <w:marLeft w:val="0"/>
      <w:marRight w:val="0"/>
      <w:marTop w:val="0"/>
      <w:marBottom w:val="0"/>
      <w:divBdr>
        <w:top w:val="none" w:sz="0" w:space="0" w:color="auto"/>
        <w:left w:val="none" w:sz="0" w:space="0" w:color="auto"/>
        <w:bottom w:val="none" w:sz="0" w:space="0" w:color="auto"/>
        <w:right w:val="none" w:sz="0" w:space="0" w:color="auto"/>
      </w:divBdr>
    </w:div>
    <w:div w:id="33123895">
      <w:bodyDiv w:val="1"/>
      <w:marLeft w:val="0"/>
      <w:marRight w:val="0"/>
      <w:marTop w:val="0"/>
      <w:marBottom w:val="0"/>
      <w:divBdr>
        <w:top w:val="none" w:sz="0" w:space="0" w:color="auto"/>
        <w:left w:val="none" w:sz="0" w:space="0" w:color="auto"/>
        <w:bottom w:val="none" w:sz="0" w:space="0" w:color="auto"/>
        <w:right w:val="none" w:sz="0" w:space="0" w:color="auto"/>
      </w:divBdr>
    </w:div>
    <w:div w:id="717625285">
      <w:bodyDiv w:val="1"/>
      <w:marLeft w:val="0"/>
      <w:marRight w:val="0"/>
      <w:marTop w:val="0"/>
      <w:marBottom w:val="0"/>
      <w:divBdr>
        <w:top w:val="none" w:sz="0" w:space="0" w:color="auto"/>
        <w:left w:val="none" w:sz="0" w:space="0" w:color="auto"/>
        <w:bottom w:val="none" w:sz="0" w:space="0" w:color="auto"/>
        <w:right w:val="none" w:sz="0" w:space="0" w:color="auto"/>
      </w:divBdr>
    </w:div>
    <w:div w:id="1269775583">
      <w:bodyDiv w:val="1"/>
      <w:marLeft w:val="0"/>
      <w:marRight w:val="0"/>
      <w:marTop w:val="0"/>
      <w:marBottom w:val="0"/>
      <w:divBdr>
        <w:top w:val="none" w:sz="0" w:space="0" w:color="auto"/>
        <w:left w:val="none" w:sz="0" w:space="0" w:color="auto"/>
        <w:bottom w:val="none" w:sz="0" w:space="0" w:color="auto"/>
        <w:right w:val="none" w:sz="0" w:space="0" w:color="auto"/>
      </w:divBdr>
    </w:div>
    <w:div w:id="1576823276">
      <w:bodyDiv w:val="1"/>
      <w:marLeft w:val="0"/>
      <w:marRight w:val="0"/>
      <w:marTop w:val="0"/>
      <w:marBottom w:val="0"/>
      <w:divBdr>
        <w:top w:val="none" w:sz="0" w:space="0" w:color="auto"/>
        <w:left w:val="none" w:sz="0" w:space="0" w:color="auto"/>
        <w:bottom w:val="none" w:sz="0" w:space="0" w:color="auto"/>
        <w:right w:val="none" w:sz="0" w:space="0" w:color="auto"/>
      </w:divBdr>
    </w:div>
    <w:div w:id="1622884943">
      <w:bodyDiv w:val="1"/>
      <w:marLeft w:val="0"/>
      <w:marRight w:val="0"/>
      <w:marTop w:val="0"/>
      <w:marBottom w:val="0"/>
      <w:divBdr>
        <w:top w:val="none" w:sz="0" w:space="0" w:color="auto"/>
        <w:left w:val="none" w:sz="0" w:space="0" w:color="auto"/>
        <w:bottom w:val="none" w:sz="0" w:space="0" w:color="auto"/>
        <w:right w:val="none" w:sz="0" w:space="0" w:color="auto"/>
      </w:divBdr>
    </w:div>
    <w:div w:id="1645967590">
      <w:bodyDiv w:val="1"/>
      <w:marLeft w:val="0"/>
      <w:marRight w:val="0"/>
      <w:marTop w:val="0"/>
      <w:marBottom w:val="0"/>
      <w:divBdr>
        <w:top w:val="none" w:sz="0" w:space="0" w:color="auto"/>
        <w:left w:val="none" w:sz="0" w:space="0" w:color="auto"/>
        <w:bottom w:val="none" w:sz="0" w:space="0" w:color="auto"/>
        <w:right w:val="none" w:sz="0" w:space="0" w:color="auto"/>
      </w:divBdr>
    </w:div>
    <w:div w:id="197050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661</Words>
  <Characters>3509</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Per Christian</dc:creator>
  <cp:keywords/>
  <dc:description/>
  <cp:lastModifiedBy>Wessel Per Christian</cp:lastModifiedBy>
  <cp:revision>9</cp:revision>
  <dcterms:created xsi:type="dcterms:W3CDTF">2023-03-15T19:53:00Z</dcterms:created>
  <dcterms:modified xsi:type="dcterms:W3CDTF">2023-03-16T18:09:00Z</dcterms:modified>
</cp:coreProperties>
</file>