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itle-page"/>
    <w:p>
      <w:pPr>
        <w:pStyle w:val="Heading1"/>
      </w:pPr>
      <w:r>
        <w:t xml:space="preserve">Title Page</w:t>
      </w:r>
    </w:p>
    <w:p>
      <w:pPr>
        <w:pStyle w:val="BlockText"/>
      </w:pPr>
      <w:r>
        <w:rPr>
          <w:b/>
          <w:bCs/>
        </w:rPr>
        <w:t xml:space="preserve">CONFIDENTIAL — This page is for editorial use only and must not be sent to reviewers.</w:t>
      </w:r>
    </w:p>
    <w:p>
      <w:r>
        <w:pict>
          <v:rect style="width:0;height:1.5pt" o:hralign="center" o:hrstd="t" o:hr="t"/>
        </w:pic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rPr>
          <w:b/>
          <w:bCs/>
        </w:rPr>
        <w:t xml:space="preserve">The Linguistic Hydro-Social Cycle: Water Infrastructure as a Precondition for British Industrialization</w:t>
      </w:r>
    </w:p>
    <w:p>
      <w:r>
        <w:pict>
          <v:rect style="width:0;height:1.5pt" o:hralign="center" o:hrstd="t" o:hr="t"/>
        </w:pict>
      </w:r>
    </w:p>
    <w:bookmarkEnd w:id="9"/>
    <w:bookmarkStart w:id="10" w:name="authors"/>
    <w:p>
      <w:pPr>
        <w:pStyle w:val="Heading2"/>
      </w:pPr>
      <w:r>
        <w:t xml:space="preserve">Author(s)</w:t>
      </w:r>
    </w:p>
    <w:p>
      <w:pPr>
        <w:pStyle w:val="FirstParagraph"/>
      </w:pPr>
      <w:r>
        <w:rPr>
          <w:b/>
          <w:bCs/>
        </w:rPr>
        <w:t xml:space="preserve">Per Christian Wessel</w:t>
      </w:r>
      <w:r>
        <w:t xml:space="preserve"> </w:t>
      </w:r>
      <w:r>
        <w:t xml:space="preserve">Independent Researcher</w:t>
      </w:r>
      <w:r>
        <w:t xml:space="preserve"> </w:t>
      </w:r>
      <w:r>
        <w:t xml:space="preserve">Oslo, Norway</w:t>
      </w:r>
      <w:r>
        <w:t xml:space="preserve"> </w:t>
      </w:r>
      <w:r>
        <w:t xml:space="preserve">Email: per.c.wessel@gmail.com</w:t>
      </w:r>
      <w:r>
        <w:t xml:space="preserve"> </w:t>
      </w:r>
      <w:r>
        <w:t xml:space="preserve">ORCID: —</w:t>
      </w:r>
    </w:p>
    <w:p>
      <w:r>
        <w:pict>
          <v:rect style="width:0;height:1.5pt" o:hralign="center" o:hrstd="t" o:hr="t"/>
        </w:pict>
      </w:r>
    </w:p>
    <w:bookmarkEnd w:id="10"/>
    <w:bookmarkStart w:id="11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Per Christian Wessel — per.c.wessel@gmail.com</w:t>
      </w:r>
    </w:p>
    <w:p>
      <w:r>
        <w:pict>
          <v:rect style="width:0;height:1.5pt" o:hralign="center" o:hrstd="t" o:hr="t"/>
        </w:pict>
      </w:r>
    </w:p>
    <w:bookmarkEnd w:id="11"/>
    <w:bookmarkStart w:id="12" w:name="keywords"/>
    <w:p>
      <w:pPr>
        <w:pStyle w:val="Heading2"/>
      </w:pPr>
      <w:r>
        <w:t xml:space="preserve">Keywords</w:t>
      </w:r>
    </w:p>
    <w:p>
      <w:pPr>
        <w:pStyle w:val="Compact"/>
        <w:numPr>
          <w:ilvl w:val="0"/>
          <w:numId w:val="1001"/>
        </w:numPr>
      </w:pPr>
      <w:r>
        <w:t xml:space="preserve">Industrial Revolution</w:t>
      </w:r>
    </w:p>
    <w:p>
      <w:pPr>
        <w:pStyle w:val="Compact"/>
        <w:numPr>
          <w:ilvl w:val="0"/>
          <w:numId w:val="1001"/>
        </w:numPr>
      </w:pPr>
      <w:r>
        <w:t xml:space="preserve">Water infrastructure</w:t>
      </w:r>
    </w:p>
    <w:p>
      <w:pPr>
        <w:pStyle w:val="Compact"/>
        <w:numPr>
          <w:ilvl w:val="0"/>
          <w:numId w:val="1001"/>
        </w:numPr>
      </w:pPr>
      <w:r>
        <w:t xml:space="preserve">Canal engineering</w:t>
      </w:r>
    </w:p>
    <w:p>
      <w:pPr>
        <w:pStyle w:val="Compact"/>
        <w:numPr>
          <w:ilvl w:val="0"/>
          <w:numId w:val="1001"/>
        </w:numPr>
      </w:pPr>
      <w:r>
        <w:t xml:space="preserve">Great Divergence</w:t>
      </w:r>
    </w:p>
    <w:p>
      <w:pPr>
        <w:pStyle w:val="Compact"/>
        <w:numPr>
          <w:ilvl w:val="0"/>
          <w:numId w:val="1001"/>
        </w:numPr>
      </w:pPr>
      <w:r>
        <w:t xml:space="preserve">Difference-in-differences</w:t>
      </w:r>
    </w:p>
    <w:p>
      <w:pPr>
        <w:pStyle w:val="Compact"/>
        <w:numPr>
          <w:ilvl w:val="0"/>
          <w:numId w:val="1001"/>
        </w:numPr>
      </w:pPr>
      <w:r>
        <w:t xml:space="preserve">Natural language processing</w:t>
      </w:r>
    </w:p>
    <w:p>
      <w:pPr>
        <w:pStyle w:val="Compact"/>
        <w:numPr>
          <w:ilvl w:val="0"/>
          <w:numId w:val="1001"/>
        </w:numPr>
      </w:pPr>
      <w:r>
        <w:t xml:space="preserve">Geographical symbiosis</w:t>
      </w:r>
    </w:p>
    <w:p>
      <w:pPr>
        <w:pStyle w:val="Compact"/>
        <w:numPr>
          <w:ilvl w:val="0"/>
          <w:numId w:val="1001"/>
        </w:numPr>
      </w:pPr>
      <w:r>
        <w:t xml:space="preserve">British economic history</w:t>
      </w:r>
    </w:p>
    <w:p>
      <w:pPr>
        <w:pStyle w:val="Compact"/>
        <w:numPr>
          <w:ilvl w:val="0"/>
          <w:numId w:val="1001"/>
        </w:numPr>
      </w:pPr>
      <w:r>
        <w:t xml:space="preserve">Hydro-social</w:t>
      </w:r>
    </w:p>
    <w:p>
      <w:pPr>
        <w:pStyle w:val="Compact"/>
        <w:numPr>
          <w:ilvl w:val="0"/>
          <w:numId w:val="1001"/>
        </w:numPr>
      </w:pPr>
      <w:r>
        <w:t xml:space="preserve">Bridgewater Canal</w:t>
      </w:r>
    </w:p>
    <w:p>
      <w:r>
        <w:pict>
          <v:rect style="width:0;height:1.5pt" o:hralign="center" o:hrstd="t" o:hr="t"/>
        </w:pict>
      </w:r>
    </w:p>
    <w:bookmarkEnd w:id="12"/>
    <w:bookmarkStart w:id="13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3"/>
    <w:bookmarkStart w:id="14" w:name="funding-statement"/>
    <w:p>
      <w:pPr>
        <w:pStyle w:val="Heading2"/>
      </w:pPr>
      <w:r>
        <w:t xml:space="preserve">Funding Statement</w:t>
      </w:r>
    </w:p>
    <w:p>
      <w:pPr>
        <w:pStyle w:val="FirstParagraph"/>
      </w:pPr>
      <w:r>
        <w:t xml:space="preserve">This research received no external funding.</w:t>
      </w:r>
    </w:p>
    <w:p>
      <w:r>
        <w:pict>
          <v:rect style="width:0;height:1.5pt" o:hralign="center" o:hrstd="t" o:hr="t"/>
        </w:pict>
      </w:r>
    </w:p>
    <w:bookmarkEnd w:id="14"/>
    <w:bookmarkStart w:id="15" w:name="competing-interests-declaration"/>
    <w:p>
      <w:pPr>
        <w:pStyle w:val="Heading2"/>
      </w:pPr>
      <w:r>
        <w:t xml:space="preserve">Competing Interests Declaration</w:t>
      </w:r>
    </w:p>
    <w:p>
      <w:pPr>
        <w:pStyle w:val="FirstParagraph"/>
      </w:pPr>
      <w:r>
        <w:t xml:space="preserve">The author(s) declare no competing interests.</w:t>
      </w:r>
    </w:p>
    <w:p>
      <w:r>
        <w:pict>
          <v:rect style="width:0;height:1.5pt" o:hralign="center" o:hrstd="t" o:hr="t"/>
        </w:pict>
      </w:r>
    </w:p>
    <w:bookmarkEnd w:id="15"/>
    <w:bookmarkStart w:id="16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All data and code required to reproduce the analyses in this paper are publicly available at https://github.com/percw/water_and_society. Historical GDP per capita data are sourced from the Maddison Project Database 2023 (Bolt and van Zanden 2020). Linguistic frequency data are drawn from the Google Books Ngram Corpus (</w:t>
      </w:r>
      <w:r>
        <w:rPr>
          <w:rStyle w:val="VerbatimChar"/>
        </w:rPr>
        <w:t xml:space="preserve">eng_gb_2019</w:t>
      </w:r>
      <w:r>
        <w:t xml:space="preserve">). A self-contained replication package is available as a supplementary archive.</w:t>
      </w:r>
    </w:p>
    <w:p>
      <w:r>
        <w:pict>
          <v:rect style="width:0;height:1.5pt" o:hralign="center" o:hrstd="t" o:hr="t"/>
        </w:pict>
      </w:r>
    </w:p>
    <w:bookmarkEnd w:id="16"/>
    <w:bookmarkStart w:id="17" w:name="word-count"/>
    <w:p>
      <w:pPr>
        <w:pStyle w:val="Heading2"/>
      </w:pPr>
      <w:r>
        <w:t xml:space="preserve">Word Count</w:t>
      </w:r>
    </w:p>
    <w:p>
      <w:pPr>
        <w:pStyle w:val="FirstParagraph"/>
      </w:pPr>
      <w:r>
        <w:t xml:space="preserve">Approximately 8,000 words (including footnotes).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2026-04-07T21:22:00Z</dcterms:created>
  <dcterms:modified xsi:type="dcterms:W3CDTF">2026-04-07T21:22:00Z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