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5D9" w:rsidRPr="000465D9" w:rsidRDefault="006C38C0" w:rsidP="000465D9">
      <w:pPr>
        <w:pStyle w:val="tkd"/>
        <w:spacing w:before="108" w:after="108"/>
        <w:ind w:left="1081" w:hanging="1081"/>
        <w:rPr>
          <w:rFonts w:ascii="Arial" w:hAnsi="新細明體" w:cs="Arial"/>
          <w:b/>
          <w:sz w:val="24"/>
          <w:szCs w:val="24"/>
        </w:rPr>
      </w:pPr>
      <w:r>
        <w:rPr>
          <w:rFonts w:ascii="Arial" w:hAnsi="新細明體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7620" r="6350" b="952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65D9" w:rsidRDefault="000465D9" w:rsidP="000465D9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42.25pt;margin-top:8.8pt;width:114pt;height:2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">
                <v:textbox>
                  <w:txbxContent>
                    <w:p w:rsidR="000465D9" w:rsidRDefault="000465D9" w:rsidP="000465D9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BF3825" w:rsidRPr="000465D9">
        <w:rPr>
          <w:rFonts w:ascii="Arial" w:hAnsi="新細明體" w:cs="Arial"/>
          <w:b/>
          <w:sz w:val="24"/>
          <w:szCs w:val="24"/>
        </w:rPr>
        <w:t>一、</w:t>
      </w:r>
      <w:r w:rsidR="00BF3825" w:rsidRPr="000465D9">
        <w:rPr>
          <w:rFonts w:ascii="Arial" w:hAnsi="Arial" w:cs="Arial"/>
          <w:b/>
          <w:sz w:val="24"/>
          <w:szCs w:val="24"/>
        </w:rPr>
        <w:t xml:space="preserve"> </w:t>
      </w:r>
      <w:r w:rsidR="00BF3825" w:rsidRPr="000465D9">
        <w:rPr>
          <w:rFonts w:ascii="Arial" w:hAnsi="新細明體" w:cs="Arial"/>
          <w:b/>
          <w:sz w:val="24"/>
          <w:szCs w:val="24"/>
        </w:rPr>
        <w:t>單選題（</w:t>
      </w:r>
      <w:r w:rsidR="000465D9" w:rsidRPr="000465D9">
        <w:rPr>
          <w:rFonts w:ascii="Arial" w:hAnsi="新細明體" w:cs="Arial" w:hint="eastAsia"/>
          <w:b/>
          <w:sz w:val="24"/>
          <w:szCs w:val="24"/>
        </w:rPr>
        <w:t>40</w:t>
      </w:r>
      <w:r w:rsidR="000465D9" w:rsidRPr="000465D9">
        <w:rPr>
          <w:rFonts w:ascii="Arial" w:hAnsi="新細明體" w:cs="Arial" w:hint="eastAsia"/>
          <w:b/>
          <w:sz w:val="24"/>
          <w:szCs w:val="24"/>
        </w:rPr>
        <w:t>題，</w:t>
      </w:r>
      <w:r w:rsidR="00BF3825" w:rsidRPr="000465D9">
        <w:rPr>
          <w:rFonts w:ascii="Arial" w:hAnsi="新細明體" w:cs="Arial"/>
          <w:b/>
          <w:sz w:val="24"/>
          <w:szCs w:val="24"/>
        </w:rPr>
        <w:t>每題</w:t>
      </w:r>
      <w:r w:rsidR="00BF3825" w:rsidRPr="000465D9">
        <w:rPr>
          <w:rFonts w:ascii="Arial" w:hAnsi="Arial" w:cs="Arial"/>
          <w:b/>
          <w:sz w:val="24"/>
          <w:szCs w:val="24"/>
        </w:rPr>
        <w:t>2</w:t>
      </w:r>
      <w:r w:rsidR="000465D9" w:rsidRPr="000465D9">
        <w:rPr>
          <w:rFonts w:ascii="Arial" w:hAnsi="Arial" w:cs="Arial" w:hint="eastAsia"/>
          <w:b/>
          <w:sz w:val="24"/>
          <w:szCs w:val="24"/>
        </w:rPr>
        <w:t>.5</w:t>
      </w:r>
      <w:r w:rsidR="00BF3825" w:rsidRPr="000465D9">
        <w:rPr>
          <w:rFonts w:ascii="Arial" w:hAnsi="新細明體" w:cs="Arial"/>
          <w:b/>
          <w:sz w:val="24"/>
          <w:szCs w:val="24"/>
        </w:rPr>
        <w:t>分</w:t>
      </w:r>
      <w:proofErr w:type="gramStart"/>
      <w:r w:rsidR="00BF3825" w:rsidRPr="000465D9">
        <w:rPr>
          <w:rFonts w:ascii="新細明體" w:hAnsi="新細明體" w:cs="Arial"/>
          <w:b/>
          <w:sz w:val="24"/>
          <w:szCs w:val="24"/>
        </w:rPr>
        <w:t>‧</w:t>
      </w:r>
      <w:proofErr w:type="gramEnd"/>
      <w:r w:rsidR="00BF3825" w:rsidRPr="000465D9">
        <w:rPr>
          <w:rFonts w:ascii="Arial" w:hAnsi="新細明體" w:cs="Arial"/>
          <w:b/>
          <w:sz w:val="24"/>
          <w:szCs w:val="24"/>
        </w:rPr>
        <w:t>共</w:t>
      </w:r>
      <w:r w:rsidR="000465D9" w:rsidRPr="000465D9">
        <w:rPr>
          <w:rFonts w:ascii="Arial" w:hAnsi="新細明體" w:cs="Arial" w:hint="eastAsia"/>
          <w:b/>
          <w:sz w:val="24"/>
          <w:szCs w:val="24"/>
        </w:rPr>
        <w:t>10</w:t>
      </w:r>
      <w:r w:rsidR="00BF3825" w:rsidRPr="000465D9">
        <w:rPr>
          <w:rFonts w:ascii="Arial" w:hAnsi="Arial" w:cs="Arial"/>
          <w:b/>
          <w:sz w:val="24"/>
          <w:szCs w:val="24"/>
        </w:rPr>
        <w:t>0</w:t>
      </w:r>
      <w:r w:rsidR="00BF3825" w:rsidRPr="000465D9">
        <w:rPr>
          <w:rFonts w:ascii="Arial" w:hAnsi="新細明體" w:cs="Arial"/>
          <w:b/>
          <w:sz w:val="24"/>
          <w:szCs w:val="24"/>
        </w:rPr>
        <w:t>分）</w:t>
      </w:r>
      <w:r w:rsidR="00D33259" w:rsidRPr="000465D9">
        <w:rPr>
          <w:rFonts w:ascii="Arial" w:hAnsi="新細明體" w:cs="Arial" w:hint="eastAsia"/>
          <w:b/>
          <w:sz w:val="24"/>
          <w:szCs w:val="24"/>
        </w:rPr>
        <w:t xml:space="preserve">          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下列何者不是彈簧的主要功用？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(A)機件之定位　(B)儲存能量　(C)測定力及重量之大小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(D)吸收震動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鑽床之進刀把手，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當鑽完孔後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，把手能自動回彈，此種彈簧為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(A)螺旋壓縮彈簧　(B)錐形彈簧　(C)拉伸彈簧　(D)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蝸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旋扭轉彈簧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)3.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彈簧未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受力前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，各圈之間具有間隙，兩端</w:t>
      </w:r>
      <w:r w:rsidR="008C51F8">
        <w:rPr>
          <w:rFonts w:asciiTheme="majorEastAsia" w:eastAsiaTheme="majorEastAsia" w:hAnsiTheme="majorEastAsia" w:hint="eastAsia"/>
          <w:kern w:val="0"/>
          <w:sz w:val="24"/>
          <w:szCs w:val="24"/>
        </w:rPr>
        <w:t>承接面保持平面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，此彈簧為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(A)扭力彈簧　(B)錐形彈簧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(C)螺旋壓縮彈簧　(D)拉伸彈簧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)4.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彈簧不受外力作用下的全長稱為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(A)彈簧長度　(B)實際長度　(C)工作長度　(D)自由長度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下列那一種彈簧，主要承受來自於螺旋切線方向作用的外力？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(A)螺旋壓縮彈簧　(B)螺旋扭轉彈簧　(C)錐形彈簧　(D)圓盤形彈簧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彈簧所用材料中，精度及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壽命均優之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材料為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(A)低碳鋼線　(B)琴鋼絲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(C)不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銹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鋼線　(D)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硬鋼線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7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彈簧線圈平均直徑與線直徑的比值，稱為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(A)彈簧指數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(B)自由長度　(C)彈性係數　(D)彈簧常數　</w:t>
      </w:r>
    </w:p>
    <w:p w:rsidR="00EA00FD" w:rsidRDefault="00A11593" w:rsidP="00EA00FD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若使用三個相同的彈簧，彈簧常數皆為k，承受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一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軸向負荷W，則可能的最小總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撓曲量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為　</w:t>
      </w:r>
    </w:p>
    <w:p w:rsidR="00A11593" w:rsidRPr="00A11593" w:rsidRDefault="00A11593" w:rsidP="00EA00FD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bookmarkStart w:id="0" w:name="_GoBack"/>
      <w:bookmarkEnd w:id="0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object w:dxaOrig="36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30pt" o:ole="">
            <v:imagedata r:id="rId7" o:title=""/>
          </v:shape>
          <o:OLEObject Type="Embed" ProgID="Equation.DSMT4" ShapeID="_x0000_i1025" DrawAspect="Content" ObjectID="_1541315292" r:id="rId8"/>
        </w:objec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object w:dxaOrig="460" w:dyaOrig="600">
          <v:shape id="_x0000_i1026" type="#_x0000_t75" style="width:23.25pt;height:30pt" o:ole="">
            <v:imagedata r:id="rId9" o:title=""/>
          </v:shape>
          <o:OLEObject Type="Embed" ProgID="Equation.DSMT4" ShapeID="_x0000_i1026" DrawAspect="Content" ObjectID="_1541315293" r:id="rId10"/>
        </w:objec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(C)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object w:dxaOrig="360" w:dyaOrig="600">
          <v:shape id="_x0000_i1027" type="#_x0000_t75" style="width:18pt;height:30pt" o:ole="">
            <v:imagedata r:id="rId11" o:title=""/>
          </v:shape>
          <o:OLEObject Type="Embed" ProgID="Equation.DSMT4" ShapeID="_x0000_i1027" DrawAspect="Content" ObjectID="_1541315294" r:id="rId12"/>
        </w:objec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(D)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object w:dxaOrig="460" w:dyaOrig="600">
          <v:shape id="_x0000_i1028" type="#_x0000_t75" style="width:23.25pt;height:30pt" o:ole="">
            <v:imagedata r:id="rId13" o:title=""/>
          </v:shape>
          <o:OLEObject Type="Embed" ProgID="Equation.DSMT4" ShapeID="_x0000_i1028" DrawAspect="Content" ObjectID="_1541315295" r:id="rId14"/>
        </w:objec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9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使用撓性傳動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元件，下列敘述何者錯誤？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(A)適用於兩軸中心距離較遠之傳動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(B)為間接傳動之方式　(C)皮帶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具有撓性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(D)可傳遞拉力與推力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0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螺旋壓縮彈簧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的外端磨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平時，其目的為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(A)增加接觸面　(B)增加美觀　(C)節省空間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(D)減低製造成本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內徑號碼為</w:t>
      </w:r>
      <w:r w:rsidR="008C51F8"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0的滾動軸承中，其實際內徑尺度應為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(A)1</w:t>
      </w:r>
      <w:r w:rsidR="008C51F8"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0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(B)20　(C)100　(D)</w:t>
      </w:r>
      <w:r w:rsidR="008C51F8">
        <w:rPr>
          <w:rFonts w:asciiTheme="majorEastAsia" w:eastAsiaTheme="majorEastAsia" w:hAnsiTheme="majorEastAsia" w:hint="eastAsia"/>
          <w:kern w:val="0"/>
          <w:sz w:val="24"/>
          <w:szCs w:val="24"/>
        </w:rPr>
        <w:t>12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0　mm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軸承號碼NU30</w:t>
      </w:r>
      <w:r w:rsidR="00162ADD"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，其內徑為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 w:rsidR="00162ADD">
        <w:rPr>
          <w:rFonts w:asciiTheme="majorEastAsia" w:eastAsiaTheme="majorEastAsia" w:hAnsiTheme="majorEastAsia" w:hint="eastAsia"/>
          <w:kern w:val="0"/>
          <w:sz w:val="24"/>
          <w:szCs w:val="24"/>
        </w:rPr>
        <w:t>17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="00162ADD"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(C)</w:t>
      </w:r>
      <w:r w:rsidR="00162ADD"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(D)</w:t>
      </w:r>
      <w:r w:rsidR="00162ADD">
        <w:rPr>
          <w:rFonts w:asciiTheme="majorEastAsia" w:eastAsiaTheme="majorEastAsia" w:hAnsiTheme="majorEastAsia" w:hint="eastAsia"/>
          <w:kern w:val="0"/>
          <w:sz w:val="24"/>
          <w:szCs w:val="24"/>
        </w:rPr>
        <w:t>15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mm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使用剛性聯結器時，兩軸之中心線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(A)允許軸向偏差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(B)必須在一直線上　(C)可有少量的角度偏差　(D)允許少量之中心偏差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下列關於聯結器的敘述，何者錯誤？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(A)萬向接頭連接的兩軸，其夾角愈大則轉速比變化愈大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歐丹聯結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器連接的兩傳動軸，其角速度相等，是一種剛性聯結器　(C)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套筒聯結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器構造最簡單，通常用於輕負荷動力的傳動　(D)剛性聯結器所連接的兩軸必須在同一軸線上，且不允許有角度偏差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下列何者係利用摩擦力傳動？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歐丹聯結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器　(B)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顎爪離合器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(C)錐形離合器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(D)萬向接頭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斜角滾珠軸承之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接觸角愈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大時，其所能承受之負載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(A)與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接觸角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無關　(B)愈大　(C)視情況而定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(D)愈小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7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下列何種離合器是藉離心力以傳送動力？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(A)圓盤離合器　(B)乾流體離合器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(C)電磁離合器　(D)錐形離合器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18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下列何種連接裝置，最適合使用於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主動軸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與從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動軸需隨時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連接或分離的情況？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(A)萬向接頭　(B)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歐丹聯結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器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(C)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凸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緣聯結器　(D)圓盤離合器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19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下列何者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不是撓性傳動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件？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(A)鍵　(B)帶　(C)繩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(D)鏈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)2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0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.當兩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傳動軸之軸中心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平行且距離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較遠時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，若要求轉速比必須精確且噪音較小，採用下列何種傳動方式最為適宜？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(A)確動皮帶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(B)齒輪　(C)圓形皮帶　(D)繩索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lastRenderedPageBreak/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V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形帶輪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溝槽角度以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 25°～30°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 34°～38°　(C) 40°　(D) 45°　為宜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以平皮帶傳動時，皮帶與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輪面間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之接觸角度不得小於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(A)150°　(B)90°　(C)120°　(D)180°</w:t>
      </w:r>
    </w:p>
    <w:p w:rsidR="00A11593" w:rsidRPr="00A11593" w:rsidRDefault="00A11593" w:rsidP="008C51F8">
      <w:pPr>
        <w:pStyle w:val="tkd"/>
        <w:spacing w:before="108" w:after="108" w:line="7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兩帶輪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中心距離為C，大輪直徑為D，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小輪直徑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為d，使用交叉皮帶較開口皮帶長約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object w:dxaOrig="900" w:dyaOrig="620">
          <v:shape id="_x0000_i1029" type="#_x0000_t75" style="width:45pt;height:30.75pt" o:ole="">
            <v:imagedata r:id="rId15" o:title=""/>
          </v:shape>
          <o:OLEObject Type="Embed" ProgID="Equation.DSMT4" ShapeID="_x0000_i1029" DrawAspect="Content" ObjectID="_1541315296" r:id="rId16"/>
        </w:objec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object w:dxaOrig="420" w:dyaOrig="600">
          <v:shape id="_x0000_i1030" type="#_x0000_t75" style="width:21pt;height:30pt" o:ole="">
            <v:imagedata r:id="rId17" o:title=""/>
          </v:shape>
          <o:OLEObject Type="Embed" ProgID="Equation.DSMT4" ShapeID="_x0000_i1030" DrawAspect="Content" ObjectID="_1541315297" r:id="rId18"/>
        </w:objec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(C)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object w:dxaOrig="420" w:dyaOrig="600">
          <v:shape id="_x0000_i1031" type="#_x0000_t75" style="width:21pt;height:30pt" o:ole="">
            <v:imagedata r:id="rId19" o:title=""/>
          </v:shape>
          <o:OLEObject Type="Embed" ProgID="Equation.DSMT4" ShapeID="_x0000_i1031" DrawAspect="Content" ObjectID="_1541315298" r:id="rId20"/>
        </w:objec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(D)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object w:dxaOrig="420" w:dyaOrig="600">
          <v:shape id="_x0000_i1032" type="#_x0000_t75" style="width:21pt;height:30pt" o:ole="">
            <v:imagedata r:id="rId21" o:title=""/>
          </v:shape>
          <o:OLEObject Type="Embed" ProgID="Equation.DSMT4" ShapeID="_x0000_i1032" DrawAspect="Content" ObjectID="_1541315299" r:id="rId22"/>
        </w:objec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帶輪的帶圈，緊邊側與鬆邊側之張力比值，以何者佳？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(A)3：5　(B)7：2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(C)3：7　(D)7：3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因皮帶與皮帶輪間之滑動損失，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從動輪之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迴轉速度約減少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(A)2～3%　(B)8～10%　(C)5～8%　(D)10～15%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)2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大型發電機及蒸氣輪機之主軸承，為了在磨損時方便調整，通常均採用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(A)滾珠軸承　(B)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止推軸承</w:t>
      </w:r>
      <w:proofErr w:type="gramEnd"/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(C)實體軸承　(D)四部軸承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27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一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皮帶輪傳動機構，皮帶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的緊邊拉力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為950N，</w:t>
      </w:r>
      <w:proofErr w:type="gramStart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鬆</w:t>
      </w:r>
      <w:proofErr w:type="gramEnd"/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邊拉力為350N，皮帶輪直徑為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0"/>
          <w:attr w:name="UnitName" w:val="mm"/>
        </w:smartTagPr>
        <w:r w:rsidRPr="00A11593">
          <w:rPr>
            <w:rFonts w:asciiTheme="majorEastAsia" w:eastAsiaTheme="majorEastAsia" w:hAnsiTheme="majorEastAsia"/>
            <w:kern w:val="0"/>
            <w:sz w:val="24"/>
            <w:szCs w:val="24"/>
          </w:rPr>
          <w:t>500mm</w:t>
        </w:r>
      </w:smartTag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，轉速為200rpm，則其傳動的功率為多少kW？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(A)1.57　(B)6.28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(C)3.14　(D)4.71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28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一般在鑽床上，欲由一定轉速的主軸上獲得各種不同的速率，一般均使用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(A)塔輪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(B)凸輪　(C)齒輪　(D)蝸桿與蝸輪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29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一般自行車或機車所採用之傳動鏈條為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(A)柱環鏈　(B)滾子鏈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(C)塊狀鏈　(D)平環鏈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)3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0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適用於傳達高速動力之鏈條為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(A)鉤接鏈　(B)平環鏈　(C)滾子鏈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(D)柱環鏈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)3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在彈性限度範圍內，彈簧所受的外力與產生的位移變形量成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(A)平方成反比　(B)平方成正比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(C)反比　(D)正比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)3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.要防止平皮帶脫落，實際上以採用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(A)帶叉約束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(B)凸緣帶輪　(C)平面帶輪　(D)隆面帶輪　為佳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)3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兩摩擦輪旋轉時，輪面間若沒有滑動現象，則兩輪接觸點處的切線速度　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(A)與半徑成正比　(B)相等　(C)不相等　(D)與半徑成反比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)3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兩摩擦輪傳動之馬力與　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(A)正面壓力成正比　(B)轉速成反比　(C)摩擦係數無關　(D)直徑大小無關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35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兩無滑動之外接圓柱形摩擦輪A與B，二軸相距</w:t>
      </w:r>
      <w:smartTag w:uri="urn:schemas-microsoft-com:office:smarttags" w:element="chmetcnv">
        <w:smartTagPr>
          <w:attr w:name="UnitName" w:val="cm"/>
          <w:attr w:name="SourceValue" w:val="15"/>
          <w:attr w:name="HasSpace" w:val="True"/>
          <w:attr w:name="Negative" w:val="False"/>
          <w:attr w:name="NumberType" w:val="1"/>
          <w:attr w:name="TCSC" w:val="0"/>
        </w:smartTagPr>
        <w:r w:rsidRPr="00A11593">
          <w:rPr>
            <w:rFonts w:asciiTheme="majorEastAsia" w:eastAsiaTheme="majorEastAsia" w:hAnsiTheme="majorEastAsia"/>
            <w:kern w:val="0"/>
            <w:sz w:val="24"/>
            <w:szCs w:val="24"/>
          </w:rPr>
          <w:t>15 cm</w:t>
        </w:r>
      </w:smartTag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，若A輪轉速為40 rpm，B輪轉速為80 rpm，則A、B二輪之半徑應為　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(A)10cm、</w:t>
      </w:r>
      <w:smartTag w:uri="urn:schemas-microsoft-com:office:smarttags" w:element="chmetcnv">
        <w:smartTagPr>
          <w:attr w:name="UnitName" w:val="c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A11593">
          <w:rPr>
            <w:rFonts w:asciiTheme="majorEastAsia" w:eastAsiaTheme="majorEastAsia" w:hAnsiTheme="majorEastAsia"/>
            <w:kern w:val="0"/>
            <w:sz w:val="24"/>
            <w:szCs w:val="24"/>
          </w:rPr>
          <w:t>5cm</w:t>
        </w:r>
      </w:smartTag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(B)5cm、</w:t>
      </w:r>
      <w:smartTag w:uri="urn:schemas-microsoft-com:office:smarttags" w:element="chmetcnv">
        <w:smartTagPr>
          <w:attr w:name="UnitName" w:val="c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A11593">
          <w:rPr>
            <w:rFonts w:asciiTheme="majorEastAsia" w:eastAsiaTheme="majorEastAsia" w:hAnsiTheme="majorEastAsia"/>
            <w:kern w:val="0"/>
            <w:sz w:val="24"/>
            <w:szCs w:val="24"/>
          </w:rPr>
          <w:t>10cm</w:t>
        </w:r>
      </w:smartTag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(C)8cm、7cm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(D)7cm、</w:t>
      </w:r>
      <w:smartTag w:uri="urn:schemas-microsoft-com:office:smarttags" w:element="chmetcnv">
        <w:smartTagPr>
          <w:attr w:name="UnitName" w:val="c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A11593">
          <w:rPr>
            <w:rFonts w:asciiTheme="majorEastAsia" w:eastAsiaTheme="majorEastAsia" w:hAnsiTheme="majorEastAsia"/>
            <w:kern w:val="0"/>
            <w:sz w:val="24"/>
            <w:szCs w:val="24"/>
          </w:rPr>
          <w:t>8cm</w:t>
        </w:r>
      </w:smartTag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36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A與B兩圓柱形摩擦輪，其V</w:t>
      </w:r>
      <w:r w:rsidRPr="00A11593">
        <w:rPr>
          <w:rFonts w:asciiTheme="majorEastAsia" w:eastAsiaTheme="majorEastAsia" w:hAnsiTheme="majorEastAsia"/>
          <w:kern w:val="0"/>
          <w:sz w:val="24"/>
          <w:szCs w:val="24"/>
          <w:vertAlign w:val="subscript"/>
        </w:rPr>
        <w:t>A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 = 3V</w:t>
      </w:r>
      <w:r w:rsidRPr="00A11593">
        <w:rPr>
          <w:rFonts w:asciiTheme="majorEastAsia" w:eastAsiaTheme="majorEastAsia" w:hAnsiTheme="majorEastAsia"/>
          <w:kern w:val="0"/>
          <w:sz w:val="24"/>
          <w:szCs w:val="24"/>
          <w:vertAlign w:val="subscript"/>
        </w:rPr>
        <w:t>B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，但兩軸之轉速比N</w:t>
      </w:r>
      <w:r w:rsidRPr="00A11593">
        <w:rPr>
          <w:rFonts w:asciiTheme="majorEastAsia" w:eastAsiaTheme="majorEastAsia" w:hAnsiTheme="majorEastAsia"/>
          <w:kern w:val="0"/>
          <w:sz w:val="24"/>
          <w:szCs w:val="24"/>
          <w:vertAlign w:val="subscript"/>
        </w:rPr>
        <w:t>A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：N</w:t>
      </w:r>
      <w:r w:rsidRPr="00A11593">
        <w:rPr>
          <w:rFonts w:asciiTheme="majorEastAsia" w:eastAsiaTheme="majorEastAsia" w:hAnsiTheme="majorEastAsia"/>
          <w:kern w:val="0"/>
          <w:sz w:val="24"/>
          <w:szCs w:val="24"/>
          <w:vertAlign w:val="subscript"/>
        </w:rPr>
        <w:t>B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 = 2：1，則直徑之比值D</w:t>
      </w:r>
      <w:r w:rsidRPr="00A11593">
        <w:rPr>
          <w:rFonts w:asciiTheme="majorEastAsia" w:eastAsiaTheme="majorEastAsia" w:hAnsiTheme="majorEastAsia"/>
          <w:kern w:val="0"/>
          <w:sz w:val="24"/>
          <w:szCs w:val="24"/>
          <w:vertAlign w:val="subscript"/>
        </w:rPr>
        <w:t>A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：D</w:t>
      </w:r>
      <w:r w:rsidRPr="00A11593">
        <w:rPr>
          <w:rFonts w:asciiTheme="majorEastAsia" w:eastAsiaTheme="majorEastAsia" w:hAnsiTheme="majorEastAsia"/>
          <w:kern w:val="0"/>
          <w:sz w:val="24"/>
          <w:szCs w:val="24"/>
          <w:vertAlign w:val="subscript"/>
        </w:rPr>
        <w:t>B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 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(A)2：3　(B)3：1　(C)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：3　(D) 3：2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37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.下列哪一種V型皮帶之斷面最大？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(A)D　(B)M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(C)E　(D)A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38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表面充以石墨或其他固體潤滑劑作為襯套之軸承為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(A)整體軸承　(B)無油軸承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(C)空氣軸承　(D)多孔軸承　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39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兩相同橢圓，被用來傳遞平行軸間的運動，兩軸心位於焦點上，且軸心距離等於長軸長度，若最大角速比為4，則最小角速比為　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(A)0.4　(B)0.25　(C)1　(D)0.1</w:t>
      </w:r>
    </w:p>
    <w:p w:rsidR="00A11593" w:rsidRPr="00A11593" w:rsidRDefault="00A11593" w:rsidP="008C51F8">
      <w:pPr>
        <w:pStyle w:val="tkd"/>
        <w:spacing w:before="108" w:after="108" w:line="340" w:lineRule="exact"/>
        <w:ind w:left="1080" w:hanging="1080"/>
        <w:rPr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8F7DF5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)4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0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不變更摩擦輪尺寸大小，亦不增加二軸間之壓力，要想增大其傳送動力時，兩輪周邊宜採用　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(A)圓柱形　(B)橢圓形　(C)圓錐形　(D)凹槽形摩擦輪</w:t>
      </w:r>
    </w:p>
    <w:sectPr w:rsidR="00A11593" w:rsidRPr="00A11593" w:rsidSect="00C24E68">
      <w:headerReference w:type="default" r:id="rId23"/>
      <w:footerReference w:type="default" r:id="rId2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F0E" w:rsidRDefault="008F1F0E">
      <w:r>
        <w:separator/>
      </w:r>
    </w:p>
  </w:endnote>
  <w:endnote w:type="continuationSeparator" w:id="0">
    <w:p w:rsidR="008F1F0E" w:rsidRDefault="008F1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明體">
    <w:altName w:val="新細明體"/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132E0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132E0" w:rsidRPr="005C0C55">
      <w:rPr>
        <w:rFonts w:ascii="新細明體" w:hAnsi="新細明體"/>
      </w:rPr>
      <w:fldChar w:fldCharType="separate"/>
    </w:r>
    <w:r w:rsidR="00EA00FD">
      <w:rPr>
        <w:rFonts w:ascii="新細明體" w:hAnsi="新細明體"/>
        <w:noProof/>
      </w:rPr>
      <w:t>2</w:t>
    </w:r>
    <w:r w:rsidR="002132E0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132E0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132E0" w:rsidRPr="005C0C55">
      <w:rPr>
        <w:rFonts w:ascii="新細明體" w:hAnsi="新細明體"/>
      </w:rPr>
      <w:fldChar w:fldCharType="separate"/>
    </w:r>
    <w:r w:rsidR="00EA00FD">
      <w:rPr>
        <w:rFonts w:ascii="新細明體" w:hAnsi="新細明體"/>
        <w:noProof/>
      </w:rPr>
      <w:t>2</w:t>
    </w:r>
    <w:r w:rsidR="002132E0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F0E" w:rsidRDefault="008F1F0E">
      <w:r>
        <w:separator/>
      </w:r>
    </w:p>
  </w:footnote>
  <w:footnote w:type="continuationSeparator" w:id="0">
    <w:p w:rsidR="008F1F0E" w:rsidRDefault="008F1F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504"/>
      <w:gridCol w:w="1016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A5566F" w:rsidP="000E09D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</w:t>
          </w:r>
          <w:r w:rsidR="00171477">
            <w:rPr>
              <w:rFonts w:ascii="新細明體" w:hAnsi="新細明體" w:hint="eastAsia"/>
              <w:sz w:val="28"/>
            </w:rPr>
            <w:t>高工</w:t>
          </w:r>
          <w:r w:rsidR="00AB4F1C">
            <w:rPr>
              <w:rFonts w:ascii="新細明體" w:hAnsi="新細明體" w:hint="eastAsia"/>
              <w:sz w:val="28"/>
            </w:rPr>
            <w:t>10</w:t>
          </w:r>
          <w:r w:rsidR="000E09DB">
            <w:rPr>
              <w:rFonts w:ascii="新細明體" w:hAnsi="新細明體" w:hint="eastAsia"/>
              <w:sz w:val="28"/>
            </w:rPr>
            <w:t>5</w:t>
          </w:r>
          <w:r w:rsidR="00CC01EE">
            <w:rPr>
              <w:rFonts w:ascii="新細明體" w:hAnsi="新細明體" w:hint="eastAsia"/>
              <w:sz w:val="28"/>
            </w:rPr>
            <w:t>學年度第</w:t>
          </w:r>
          <w:r w:rsidR="006669F7">
            <w:rPr>
              <w:rFonts w:ascii="新細明體" w:hAnsi="新細明體" w:hint="eastAsia"/>
              <w:sz w:val="28"/>
            </w:rPr>
            <w:t>1</w:t>
          </w:r>
          <w:r w:rsidR="00CC01EE"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 w:rsidR="00A11593">
            <w:rPr>
              <w:rFonts w:ascii="新細明體" w:hAnsi="新細明體" w:hint="eastAsia"/>
              <w:sz w:val="28"/>
            </w:rPr>
            <w:t>第二</w:t>
          </w:r>
          <w:r w:rsidR="006669F7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="00CC01E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CC01EE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 w:rsidTr="000465D9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50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9761C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0465D9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01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9761C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07119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9761CF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CC01EE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7E14"/>
    <w:rsid w:val="000465D9"/>
    <w:rsid w:val="00054165"/>
    <w:rsid w:val="00067741"/>
    <w:rsid w:val="0007119C"/>
    <w:rsid w:val="00077539"/>
    <w:rsid w:val="000D2197"/>
    <w:rsid w:val="000E09DB"/>
    <w:rsid w:val="000F0A5C"/>
    <w:rsid w:val="000F31AA"/>
    <w:rsid w:val="0010468C"/>
    <w:rsid w:val="001075A0"/>
    <w:rsid w:val="00136E52"/>
    <w:rsid w:val="00162ADD"/>
    <w:rsid w:val="00171477"/>
    <w:rsid w:val="001808BF"/>
    <w:rsid w:val="001E715E"/>
    <w:rsid w:val="001F4592"/>
    <w:rsid w:val="001F6540"/>
    <w:rsid w:val="00205F49"/>
    <w:rsid w:val="002132E0"/>
    <w:rsid w:val="00232176"/>
    <w:rsid w:val="002332A1"/>
    <w:rsid w:val="002D166C"/>
    <w:rsid w:val="00321D20"/>
    <w:rsid w:val="003241A4"/>
    <w:rsid w:val="00341F38"/>
    <w:rsid w:val="00347F23"/>
    <w:rsid w:val="00383AC5"/>
    <w:rsid w:val="00474646"/>
    <w:rsid w:val="00480607"/>
    <w:rsid w:val="00484E34"/>
    <w:rsid w:val="004949D1"/>
    <w:rsid w:val="0049676D"/>
    <w:rsid w:val="004B4D2C"/>
    <w:rsid w:val="004C4C51"/>
    <w:rsid w:val="004D0A66"/>
    <w:rsid w:val="00586C60"/>
    <w:rsid w:val="005D7D20"/>
    <w:rsid w:val="00617602"/>
    <w:rsid w:val="00622DE9"/>
    <w:rsid w:val="006507E2"/>
    <w:rsid w:val="006510D6"/>
    <w:rsid w:val="006669F7"/>
    <w:rsid w:val="00677FFB"/>
    <w:rsid w:val="00691574"/>
    <w:rsid w:val="006B011A"/>
    <w:rsid w:val="006C38C0"/>
    <w:rsid w:val="006C3973"/>
    <w:rsid w:val="006C5F60"/>
    <w:rsid w:val="00792F55"/>
    <w:rsid w:val="007936AA"/>
    <w:rsid w:val="007B30F6"/>
    <w:rsid w:val="007C18C2"/>
    <w:rsid w:val="007F646E"/>
    <w:rsid w:val="00827253"/>
    <w:rsid w:val="008310E7"/>
    <w:rsid w:val="0084740C"/>
    <w:rsid w:val="00852BB2"/>
    <w:rsid w:val="008566FA"/>
    <w:rsid w:val="0086698C"/>
    <w:rsid w:val="008A249A"/>
    <w:rsid w:val="008A4403"/>
    <w:rsid w:val="008C51F8"/>
    <w:rsid w:val="008F1F0E"/>
    <w:rsid w:val="008F7DF5"/>
    <w:rsid w:val="00927471"/>
    <w:rsid w:val="00941320"/>
    <w:rsid w:val="00951974"/>
    <w:rsid w:val="009761CF"/>
    <w:rsid w:val="00991E9B"/>
    <w:rsid w:val="009C4276"/>
    <w:rsid w:val="009D2548"/>
    <w:rsid w:val="00A11593"/>
    <w:rsid w:val="00A12DDA"/>
    <w:rsid w:val="00A41EF1"/>
    <w:rsid w:val="00A5566F"/>
    <w:rsid w:val="00A63013"/>
    <w:rsid w:val="00AB4F1C"/>
    <w:rsid w:val="00B12397"/>
    <w:rsid w:val="00B37E79"/>
    <w:rsid w:val="00BF1A9D"/>
    <w:rsid w:val="00BF3825"/>
    <w:rsid w:val="00C24E68"/>
    <w:rsid w:val="00CC01EE"/>
    <w:rsid w:val="00CE3CF4"/>
    <w:rsid w:val="00CF214B"/>
    <w:rsid w:val="00CF3AA4"/>
    <w:rsid w:val="00D01C5D"/>
    <w:rsid w:val="00D33259"/>
    <w:rsid w:val="00D55C76"/>
    <w:rsid w:val="00D64EAB"/>
    <w:rsid w:val="00D821C6"/>
    <w:rsid w:val="00DF6967"/>
    <w:rsid w:val="00DF75B8"/>
    <w:rsid w:val="00E052B0"/>
    <w:rsid w:val="00E92C8F"/>
    <w:rsid w:val="00E9451A"/>
    <w:rsid w:val="00E97312"/>
    <w:rsid w:val="00EA00FD"/>
    <w:rsid w:val="00EA2306"/>
    <w:rsid w:val="00EA67F7"/>
    <w:rsid w:val="00ED7527"/>
    <w:rsid w:val="00F03131"/>
    <w:rsid w:val="00F17AAE"/>
    <w:rsid w:val="00F336FE"/>
    <w:rsid w:val="00F76DBE"/>
    <w:rsid w:val="00F871BC"/>
    <w:rsid w:val="00F94410"/>
    <w:rsid w:val="00FB0F9A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ACE23D2-3C4E-495F-A52F-5A2B28A7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Web">
    <w:name w:val="Normal (Web)"/>
    <w:basedOn w:val="a"/>
    <w:uiPriority w:val="99"/>
    <w:unhideWhenUsed/>
    <w:rsid w:val="00792F5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08-">
    <w:name w:val="08-歷屆試題填充題 字元"/>
    <w:basedOn w:val="a0"/>
    <w:rsid w:val="00A11593"/>
    <w:rPr>
      <w:rFonts w:eastAsia="華康中明體"/>
      <w:kern w:val="2"/>
      <w:sz w:val="23"/>
      <w:szCs w:val="23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2648</Characters>
  <Application>Microsoft Office Word</Application>
  <DocSecurity>0</DocSecurity>
  <Lines>22</Lines>
  <Paragraphs>6</Paragraphs>
  <ScaleCrop>false</ScaleCrop>
  <Company>microsoft</Company>
  <LinksUpToDate>false</LinksUpToDate>
  <CharactersWithSpaces>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2008-09-01T00:41:00Z</cp:lastPrinted>
  <dcterms:created xsi:type="dcterms:W3CDTF">2016-11-17T08:31:00Z</dcterms:created>
  <dcterms:modified xsi:type="dcterms:W3CDTF">2016-11-22T02:22:00Z</dcterms:modified>
</cp:coreProperties>
</file>