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60"/>
        <w:gridCol w:w="1562"/>
        <w:gridCol w:w="850"/>
        <w:gridCol w:w="1276"/>
        <w:gridCol w:w="850"/>
        <w:gridCol w:w="1134"/>
        <w:gridCol w:w="709"/>
        <w:gridCol w:w="709"/>
        <w:gridCol w:w="586"/>
        <w:gridCol w:w="973"/>
        <w:gridCol w:w="851"/>
        <w:gridCol w:w="708"/>
        <w:gridCol w:w="709"/>
        <w:gridCol w:w="709"/>
        <w:gridCol w:w="997"/>
      </w:tblGrid>
      <w:tr w:rsidR="007C551D" w:rsidRPr="007C551D" w14:paraId="6F187576" w14:textId="77777777" w:rsidTr="0061089A">
        <w:trPr>
          <w:trHeight w:val="564"/>
          <w:jc w:val="center"/>
        </w:trPr>
        <w:tc>
          <w:tcPr>
            <w:tcW w:w="9209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642B0DE" w14:textId="77777777" w:rsidR="007C551D" w:rsidRPr="007C551D" w:rsidRDefault="007C551D" w:rsidP="00B85CA4">
            <w:pPr>
              <w:autoSpaceDE w:val="0"/>
              <w:autoSpaceDN w:val="0"/>
              <w:adjustRightInd w:val="0"/>
              <w:rPr>
                <w:rFonts w:ascii="標楷體" w:eastAsia="標楷體" w:hAnsi="標楷體" w:cs="新細明體"/>
                <w:color w:val="000000" w:themeColor="text1"/>
                <w:kern w:val="0"/>
                <w:sz w:val="22"/>
                <w:lang w:val="zh-TW"/>
              </w:rPr>
            </w:pPr>
            <w:r w:rsidRPr="00B85CA4">
              <w:rPr>
                <w:rFonts w:ascii="標楷體" w:eastAsia="標楷體" w:hAnsi="標楷體" w:cs="新細明體" w:hint="eastAsia"/>
                <w:color w:val="000000" w:themeColor="text1"/>
                <w:spacing w:val="93"/>
                <w:kern w:val="0"/>
                <w:szCs w:val="24"/>
                <w:fitText w:val="8400" w:id="-1178248190"/>
                <w:lang w:val="zh-TW"/>
              </w:rPr>
              <w:t>市立新北高工</w:t>
            </w:r>
            <w:r w:rsidRPr="00B85CA4">
              <w:rPr>
                <w:rFonts w:ascii="標楷體" w:eastAsia="標楷體" w:hAnsi="標楷體" w:cs="Calibri"/>
                <w:color w:val="000000" w:themeColor="text1"/>
                <w:spacing w:val="93"/>
                <w:kern w:val="0"/>
                <w:szCs w:val="24"/>
                <w:fitText w:val="8400" w:id="-1178248190"/>
                <w:lang w:val="zh-TW"/>
              </w:rPr>
              <w:t xml:space="preserve"> 11</w:t>
            </w:r>
            <w:r w:rsidRPr="00B85CA4">
              <w:rPr>
                <w:rFonts w:ascii="標楷體" w:eastAsia="標楷體" w:hAnsi="標楷體" w:cs="Calibri" w:hint="eastAsia"/>
                <w:color w:val="000000" w:themeColor="text1"/>
                <w:spacing w:val="93"/>
                <w:kern w:val="0"/>
                <w:szCs w:val="24"/>
                <w:fitText w:val="8400" w:id="-1178248190"/>
                <w:lang w:val="zh-TW"/>
              </w:rPr>
              <w:t>2</w:t>
            </w:r>
            <w:r w:rsidRPr="00B85CA4">
              <w:rPr>
                <w:rFonts w:ascii="標楷體" w:eastAsia="標楷體" w:hAnsi="標楷體" w:cs="新細明體" w:hint="eastAsia"/>
                <w:color w:val="000000" w:themeColor="text1"/>
                <w:spacing w:val="93"/>
                <w:kern w:val="0"/>
                <w:szCs w:val="24"/>
                <w:fitText w:val="8400" w:id="-1178248190"/>
                <w:lang w:val="zh-TW"/>
              </w:rPr>
              <w:t>學年度</w:t>
            </w:r>
            <w:r w:rsidRPr="00B85CA4">
              <w:rPr>
                <w:rFonts w:ascii="標楷體" w:eastAsia="標楷體" w:hAnsi="標楷體" w:cs="Calibri"/>
                <w:color w:val="000000" w:themeColor="text1"/>
                <w:spacing w:val="93"/>
                <w:kern w:val="0"/>
                <w:szCs w:val="24"/>
                <w:fitText w:val="8400" w:id="-1178248190"/>
                <w:lang w:val="zh-TW"/>
              </w:rPr>
              <w:t xml:space="preserve"> </w:t>
            </w:r>
            <w:r w:rsidRPr="00B85CA4">
              <w:rPr>
                <w:rFonts w:ascii="標楷體" w:eastAsia="標楷體" w:hAnsi="標楷體" w:cs="新細明體" w:hint="eastAsia"/>
                <w:color w:val="000000" w:themeColor="text1"/>
                <w:spacing w:val="93"/>
                <w:kern w:val="0"/>
                <w:szCs w:val="24"/>
                <w:fitText w:val="8400" w:id="-1178248190"/>
                <w:lang w:val="zh-TW"/>
              </w:rPr>
              <w:t>第</w:t>
            </w:r>
            <w:r w:rsidRPr="00B85CA4">
              <w:rPr>
                <w:rFonts w:ascii="標楷體" w:eastAsia="標楷體" w:hAnsi="標楷體" w:cs="Calibri"/>
                <w:color w:val="000000" w:themeColor="text1"/>
                <w:spacing w:val="93"/>
                <w:kern w:val="0"/>
                <w:szCs w:val="24"/>
                <w:fitText w:val="8400" w:id="-1178248190"/>
                <w:lang w:val="zh-TW"/>
              </w:rPr>
              <w:t>1</w:t>
            </w:r>
            <w:r w:rsidRPr="00B85CA4">
              <w:rPr>
                <w:rFonts w:ascii="標楷體" w:eastAsia="標楷體" w:hAnsi="標楷體" w:cs="新細明體" w:hint="eastAsia"/>
                <w:color w:val="000000" w:themeColor="text1"/>
                <w:spacing w:val="93"/>
                <w:kern w:val="0"/>
                <w:szCs w:val="24"/>
                <w:fitText w:val="8400" w:id="-1178248190"/>
                <w:lang w:val="zh-TW"/>
              </w:rPr>
              <w:t>學期</w:t>
            </w:r>
            <w:r w:rsidRPr="00B85CA4">
              <w:rPr>
                <w:rFonts w:ascii="標楷體" w:eastAsia="標楷體" w:hAnsi="標楷體" w:cs="Calibri"/>
                <w:color w:val="000000" w:themeColor="text1"/>
                <w:spacing w:val="93"/>
                <w:kern w:val="0"/>
                <w:szCs w:val="24"/>
                <w:fitText w:val="8400" w:id="-1178248190"/>
                <w:lang w:val="zh-TW"/>
              </w:rPr>
              <w:t xml:space="preserve"> </w:t>
            </w:r>
            <w:r w:rsidR="00B85CA4">
              <w:rPr>
                <w:rFonts w:ascii="標楷體" w:eastAsia="標楷體" w:hAnsi="標楷體" w:cs="Calibri" w:hint="eastAsia"/>
                <w:color w:val="000000" w:themeColor="text1"/>
                <w:spacing w:val="93"/>
                <w:kern w:val="0"/>
                <w:szCs w:val="24"/>
                <w:fitText w:val="8400" w:id="-1178248190"/>
                <w:lang w:val="zh-TW"/>
              </w:rPr>
              <w:t>補</w:t>
            </w:r>
            <w:r w:rsidRPr="00B85CA4">
              <w:rPr>
                <w:rFonts w:ascii="標楷體" w:eastAsia="標楷體" w:hAnsi="標楷體" w:cs="新細明體" w:hint="eastAsia"/>
                <w:color w:val="000000" w:themeColor="text1"/>
                <w:spacing w:val="93"/>
                <w:kern w:val="0"/>
                <w:szCs w:val="24"/>
                <w:fitText w:val="8400" w:id="-1178248190"/>
                <w:lang w:val="zh-TW"/>
              </w:rPr>
              <w:t>考試</w:t>
            </w:r>
            <w:r w:rsidRPr="00B85CA4">
              <w:rPr>
                <w:rFonts w:ascii="標楷體" w:eastAsia="標楷體" w:hAnsi="標楷體" w:cs="新細明體" w:hint="eastAsia"/>
                <w:color w:val="000000" w:themeColor="text1"/>
                <w:kern w:val="0"/>
                <w:szCs w:val="24"/>
                <w:fitText w:val="8400" w:id="-1178248190"/>
                <w:lang w:val="zh-TW"/>
              </w:rPr>
              <w:t>題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7882F0A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班別</w:t>
            </w:r>
          </w:p>
        </w:tc>
        <w:tc>
          <w:tcPr>
            <w:tcW w:w="7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E819AEE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D215F86" w14:textId="77777777" w:rsidR="007C551D" w:rsidRPr="007C551D" w:rsidRDefault="007C551D" w:rsidP="002622AF">
            <w:pPr>
              <w:autoSpaceDE w:val="0"/>
              <w:autoSpaceDN w:val="0"/>
              <w:adjustRightInd w:val="0"/>
              <w:ind w:right="-110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座號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45A60F5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</w:p>
        </w:tc>
        <w:tc>
          <w:tcPr>
            <w:tcW w:w="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A468992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電腦卡作答</w:t>
            </w:r>
          </w:p>
        </w:tc>
      </w:tr>
      <w:tr w:rsidR="007C551D" w:rsidRPr="007C551D" w14:paraId="6E791181" w14:textId="77777777" w:rsidTr="0061089A">
        <w:trPr>
          <w:trHeight w:val="1"/>
          <w:jc w:val="center"/>
        </w:trPr>
        <w:tc>
          <w:tcPr>
            <w:tcW w:w="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85F1E64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科目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41D92CF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鑄造學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D95D6AE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命題教師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859B5FE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林貴生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4A79083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審題教師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B5FD71E" w14:textId="77777777" w:rsidR="007C551D" w:rsidRPr="007C551D" w:rsidRDefault="007C551D" w:rsidP="007C551D">
            <w:pPr>
              <w:autoSpaceDE w:val="0"/>
              <w:autoSpaceDN w:val="0"/>
              <w:adjustRightInd w:val="0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范振佶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6CC7889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年級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D38E30D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三</w:t>
            </w:r>
          </w:p>
        </w:tc>
        <w:tc>
          <w:tcPr>
            <w:tcW w:w="5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A6B6E45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科別</w:t>
            </w:r>
          </w:p>
        </w:tc>
        <w:tc>
          <w:tcPr>
            <w:tcW w:w="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6723358" w14:textId="77777777" w:rsidR="007C551D" w:rsidRPr="007C551D" w:rsidRDefault="007C551D" w:rsidP="002622AF">
            <w:pPr>
              <w:autoSpaceDE w:val="0"/>
              <w:autoSpaceDN w:val="0"/>
              <w:adjustRightInd w:val="0"/>
              <w:ind w:right="-101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鑄造科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6288E7D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姓名</w:t>
            </w:r>
          </w:p>
        </w:tc>
        <w:tc>
          <w:tcPr>
            <w:tcW w:w="212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CEF0AE0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</w:p>
        </w:tc>
        <w:tc>
          <w:tcPr>
            <w:tcW w:w="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9813FCA" w14:textId="77777777" w:rsidR="007C551D" w:rsidRPr="007C551D" w:rsidRDefault="007C551D" w:rsidP="007C551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新細明體"/>
                <w:kern w:val="0"/>
                <w:sz w:val="22"/>
                <w:lang w:val="zh-TW"/>
              </w:rPr>
            </w:pPr>
            <w:r w:rsidRPr="007C551D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是</w:t>
            </w:r>
          </w:p>
        </w:tc>
      </w:tr>
    </w:tbl>
    <w:p w14:paraId="35A17C13" w14:textId="77777777" w:rsidR="007C551D" w:rsidRPr="00A57BCA" w:rsidRDefault="00A57BCA" w:rsidP="00A57BCA">
      <w:pPr>
        <w:tabs>
          <w:tab w:val="left" w:pos="10068"/>
        </w:tabs>
        <w:autoSpaceDE w:val="0"/>
        <w:autoSpaceDN w:val="0"/>
        <w:adjustRightInd w:val="0"/>
        <w:rPr>
          <w:rFonts w:ascii="@·s²Ó©úÅé Western" w:eastAsia="新細明體" w:hAnsi="@·s²Ó©úÅé Western" w:cs="Times New Roman"/>
          <w:sz w:val="22"/>
        </w:rPr>
        <w:sectPr w:rsidR="007C551D" w:rsidRPr="00A57BCA" w:rsidSect="00ED3002">
          <w:footerReference w:type="default" r:id="rId7"/>
          <w:pgSz w:w="14572" w:h="20639"/>
          <w:pgMar w:top="720" w:right="720" w:bottom="720" w:left="720" w:header="851" w:footer="992" w:gutter="0"/>
          <w:cols w:space="425"/>
          <w:docGrid w:type="lines" w:linePitch="360"/>
        </w:sectPr>
      </w:pPr>
      <w:r>
        <w:rPr>
          <w:rFonts w:ascii="@·s²Ó©úÅé Western" w:eastAsia="新細明體" w:hAnsi="@·s²Ó©úÅé Western" w:cs="Times New Roman"/>
          <w:sz w:val="22"/>
        </w:rPr>
        <w:tab/>
      </w:r>
      <w:r>
        <w:rPr>
          <w:rFonts w:ascii="@·s²Ó©úÅé Western" w:eastAsia="新細明體" w:hAnsi="@·s²Ó©úÅé Western" w:cs="Times New Roman"/>
          <w:sz w:val="22"/>
        </w:rPr>
        <w:tab/>
      </w:r>
    </w:p>
    <w:p w14:paraId="0F21A246" w14:textId="77777777" w:rsidR="0061089A" w:rsidRPr="0061089A" w:rsidRDefault="0061089A" w:rsidP="0061089A">
      <w:pPr>
        <w:autoSpaceDE w:val="0"/>
        <w:autoSpaceDN w:val="0"/>
        <w:rPr>
          <w:rFonts w:ascii="Arial" w:hAnsi="Arial"/>
          <w:b/>
          <w:kern w:val="0"/>
        </w:rPr>
      </w:pPr>
      <w:r w:rsidRPr="0061089A">
        <w:rPr>
          <w:rFonts w:ascii="Arial" w:hAnsi="Arial" w:hint="eastAsia"/>
          <w:b/>
          <w:kern w:val="0"/>
        </w:rPr>
        <w:t>單選題，每題</w:t>
      </w:r>
      <w:r w:rsidRPr="0061089A">
        <w:rPr>
          <w:rFonts w:ascii="Arial" w:hAnsi="Arial" w:hint="eastAsia"/>
          <w:b/>
          <w:kern w:val="0"/>
        </w:rPr>
        <w:t>2</w:t>
      </w:r>
      <w:r w:rsidRPr="0061089A">
        <w:rPr>
          <w:rFonts w:ascii="Arial" w:hAnsi="Arial" w:hint="eastAsia"/>
          <w:b/>
          <w:kern w:val="0"/>
        </w:rPr>
        <w:t>分，共</w:t>
      </w:r>
      <w:r w:rsidRPr="0061089A">
        <w:rPr>
          <w:rFonts w:ascii="Arial" w:hAnsi="Arial" w:hint="eastAsia"/>
          <w:b/>
          <w:kern w:val="0"/>
        </w:rPr>
        <w:t>100</w:t>
      </w:r>
      <w:r w:rsidRPr="0061089A">
        <w:rPr>
          <w:rFonts w:ascii="Arial" w:hAnsi="Arial" w:hint="eastAsia"/>
          <w:b/>
          <w:kern w:val="0"/>
        </w:rPr>
        <w:t>分</w:t>
      </w:r>
      <w:r w:rsidR="005A2F4E">
        <w:rPr>
          <w:rFonts w:ascii="Arial" w:hAnsi="Arial" w:hint="eastAsia"/>
          <w:b/>
          <w:kern w:val="0"/>
        </w:rPr>
        <w:t>，電腦劃卡</w:t>
      </w:r>
    </w:p>
    <w:p w14:paraId="185B01D8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大量生產之鑄件的模型，為了其能有耐久使用的條件，大都採用金屬製造，而其中應用最廣的材料是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黃銅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不鏽鋼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鑄鐵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鋁合金</w:t>
      </w:r>
      <w:r w:rsidRPr="0061089A">
        <w:rPr>
          <w:kern w:val="0"/>
          <w:sz w:val="26"/>
          <w:szCs w:val="26"/>
        </w:rPr>
        <w:t xml:space="preserve"> </w:t>
      </w:r>
    </w:p>
    <w:p w14:paraId="76626799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鑄鐵鑄件製作模型時，選用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的鑄造尺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10/1000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13/1000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15/1000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20/1000</w:t>
      </w:r>
      <w:r w:rsidRPr="0061089A">
        <w:rPr>
          <w:kern w:val="0"/>
          <w:sz w:val="26"/>
          <w:szCs w:val="26"/>
        </w:rPr>
        <w:t xml:space="preserve"> </w:t>
      </w:r>
    </w:p>
    <w:p w14:paraId="382D5843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青銅、黃銅等重金屬鑄件製作模型時，選用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的鑄造尺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10/1000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13/1000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15/1000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20/1000</w:t>
      </w:r>
      <w:r w:rsidRPr="0061089A">
        <w:rPr>
          <w:kern w:val="0"/>
          <w:sz w:val="26"/>
          <w:szCs w:val="26"/>
        </w:rPr>
        <w:t xml:space="preserve"> </w:t>
      </w:r>
    </w:p>
    <w:p w14:paraId="3E9FC999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鑄鋼鑄件製作模型時，選用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的鑄造尺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10/1000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13/1000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15/1000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20/1000</w:t>
      </w:r>
      <w:r w:rsidRPr="0061089A">
        <w:rPr>
          <w:kern w:val="0"/>
          <w:sz w:val="26"/>
          <w:szCs w:val="26"/>
        </w:rPr>
        <w:t xml:space="preserve"> </w:t>
      </w:r>
    </w:p>
    <w:p w14:paraId="1305C275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使用鋁質</w:t>
      </w:r>
      <w:r w:rsidRPr="0061089A">
        <w:rPr>
          <w:sz w:val="26"/>
          <w:szCs w:val="26"/>
        </w:rPr>
        <w:t>(</w:t>
      </w:r>
      <w:r w:rsidRPr="0061089A">
        <w:rPr>
          <w:rFonts w:hint="eastAsia"/>
          <w:sz w:val="26"/>
          <w:szCs w:val="26"/>
        </w:rPr>
        <w:t>收縮率</w:t>
      </w:r>
      <w:r w:rsidRPr="0061089A">
        <w:rPr>
          <w:sz w:val="26"/>
          <w:szCs w:val="26"/>
        </w:rPr>
        <w:t>13/1000)</w:t>
      </w:r>
      <w:r w:rsidRPr="0061089A">
        <w:rPr>
          <w:rFonts w:hint="eastAsia"/>
          <w:sz w:val="26"/>
          <w:szCs w:val="26"/>
        </w:rPr>
        <w:t>模型生產小型鑄鐵件</w:t>
      </w:r>
      <w:r w:rsidRPr="0061089A">
        <w:rPr>
          <w:sz w:val="26"/>
          <w:szCs w:val="26"/>
        </w:rPr>
        <w:t>(</w:t>
      </w:r>
      <w:r w:rsidRPr="0061089A">
        <w:rPr>
          <w:rFonts w:hint="eastAsia"/>
          <w:sz w:val="26"/>
          <w:szCs w:val="26"/>
        </w:rPr>
        <w:t>收縮率</w:t>
      </w:r>
      <w:r w:rsidRPr="0061089A">
        <w:rPr>
          <w:sz w:val="26"/>
          <w:szCs w:val="26"/>
        </w:rPr>
        <w:t>10/1000)</w:t>
      </w:r>
      <w:r w:rsidRPr="0061089A">
        <w:rPr>
          <w:rFonts w:hint="eastAsia"/>
          <w:sz w:val="26"/>
          <w:szCs w:val="26"/>
        </w:rPr>
        <w:t>時，則木質主模型的收縮加放應為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3/1000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10/1000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13/1000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23/1000</w:t>
      </w:r>
      <w:r w:rsidRPr="0061089A">
        <w:rPr>
          <w:kern w:val="0"/>
          <w:sz w:val="26"/>
          <w:szCs w:val="26"/>
        </w:rPr>
        <w:t xml:space="preserve"> </w:t>
      </w:r>
    </w:p>
    <w:p w14:paraId="5F01CE1B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一般小型鑄建在加工部未加放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1</w:t>
      </w:r>
      <w:r w:rsidRPr="0061089A">
        <w:rPr>
          <w:rFonts w:hint="eastAsia"/>
          <w:sz w:val="26"/>
          <w:szCs w:val="26"/>
        </w:rPr>
        <w:t>～</w:t>
      </w:r>
      <w:r w:rsidRPr="0061089A">
        <w:rPr>
          <w:sz w:val="26"/>
          <w:szCs w:val="26"/>
        </w:rPr>
        <w:t>2 mm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3</w:t>
      </w:r>
      <w:r w:rsidRPr="0061089A">
        <w:rPr>
          <w:rFonts w:hint="eastAsia"/>
          <w:sz w:val="26"/>
          <w:szCs w:val="26"/>
        </w:rPr>
        <w:t>～</w:t>
      </w:r>
      <w:r w:rsidRPr="0061089A">
        <w:rPr>
          <w:sz w:val="26"/>
          <w:szCs w:val="26"/>
        </w:rPr>
        <w:t>5 mm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7</w:t>
      </w:r>
      <w:r w:rsidRPr="0061089A">
        <w:rPr>
          <w:rFonts w:hint="eastAsia"/>
          <w:sz w:val="26"/>
          <w:szCs w:val="26"/>
        </w:rPr>
        <w:t>～</w:t>
      </w:r>
      <w:r w:rsidRPr="0061089A">
        <w:rPr>
          <w:sz w:val="26"/>
          <w:szCs w:val="26"/>
        </w:rPr>
        <w:t>8 mm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10 mm</w:t>
      </w:r>
      <w:r w:rsidRPr="0061089A">
        <w:rPr>
          <w:kern w:val="0"/>
          <w:sz w:val="26"/>
          <w:szCs w:val="26"/>
        </w:rPr>
        <w:t xml:space="preserve"> </w:t>
      </w:r>
    </w:p>
    <w:p w14:paraId="634CC636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根據</w:t>
      </w:r>
      <w:r w:rsidRPr="0061089A">
        <w:rPr>
          <w:sz w:val="26"/>
          <w:szCs w:val="26"/>
        </w:rPr>
        <w:t>DIN</w:t>
      </w:r>
      <w:r w:rsidRPr="0061089A">
        <w:rPr>
          <w:rFonts w:hint="eastAsia"/>
          <w:sz w:val="26"/>
          <w:szCs w:val="26"/>
        </w:rPr>
        <w:t>規定，砂心頭的斜度在其高度</w:t>
      </w:r>
      <w:r w:rsidRPr="0061089A">
        <w:rPr>
          <w:sz w:val="26"/>
          <w:szCs w:val="26"/>
        </w:rPr>
        <w:t>70 mm</w:t>
      </w:r>
      <w:r w:rsidRPr="0061089A">
        <w:rPr>
          <w:rFonts w:hint="eastAsia"/>
          <w:sz w:val="26"/>
          <w:szCs w:val="26"/>
        </w:rPr>
        <w:t>以下時採用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，以便於起模即安置砂心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1°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3°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5°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7°</w:t>
      </w:r>
      <w:r w:rsidRPr="0061089A">
        <w:rPr>
          <w:kern w:val="0"/>
          <w:sz w:val="26"/>
          <w:szCs w:val="26"/>
        </w:rPr>
        <w:t xml:space="preserve"> </w:t>
      </w:r>
    </w:p>
    <w:p w14:paraId="135CEEBF" w14:textId="77777777" w:rsidR="005A2F4E" w:rsidRDefault="0061089A" w:rsidP="005A2F4E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根據</w:t>
      </w:r>
      <w:r w:rsidRPr="0061089A">
        <w:rPr>
          <w:sz w:val="26"/>
          <w:szCs w:val="26"/>
        </w:rPr>
        <w:t>DIN</w:t>
      </w:r>
      <w:r w:rsidRPr="0061089A">
        <w:rPr>
          <w:rFonts w:hint="eastAsia"/>
          <w:sz w:val="26"/>
          <w:szCs w:val="26"/>
        </w:rPr>
        <w:t>規定，砂心頭的斜度在其高度</w:t>
      </w:r>
      <w:r w:rsidRPr="0061089A">
        <w:rPr>
          <w:sz w:val="26"/>
          <w:szCs w:val="26"/>
        </w:rPr>
        <w:t>70 mm</w:t>
      </w:r>
      <w:r w:rsidRPr="0061089A">
        <w:rPr>
          <w:rFonts w:hint="eastAsia"/>
          <w:sz w:val="26"/>
          <w:szCs w:val="26"/>
        </w:rPr>
        <w:t>以上時採用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，以便於起模即安置砂心</w:t>
      </w:r>
      <w:r w:rsidRPr="0061089A">
        <w:rPr>
          <w:kern w:val="0"/>
          <w:sz w:val="26"/>
          <w:szCs w:val="26"/>
        </w:rPr>
        <w:t xml:space="preserve"> (A)</w:t>
      </w:r>
      <w:r w:rsidR="005A2F4E" w:rsidRPr="005A2F4E">
        <w:rPr>
          <w:sz w:val="26"/>
          <w:szCs w:val="26"/>
        </w:rPr>
        <w:t xml:space="preserve"> 3°</w:t>
      </w:r>
      <w:r w:rsidRPr="0061089A">
        <w:rPr>
          <w:kern w:val="0"/>
          <w:sz w:val="26"/>
          <w:szCs w:val="26"/>
        </w:rPr>
        <w:t xml:space="preserve"> </w:t>
      </w:r>
      <w:r w:rsidR="001F4D45">
        <w:rPr>
          <w:rFonts w:ascii="Arial" w:hAnsi="Arial" w:hint="eastAsia"/>
          <w:kern w:val="0"/>
          <w:sz w:val="26"/>
          <w:szCs w:val="26"/>
        </w:rPr>
        <w:t xml:space="preserve">  </w:t>
      </w:r>
      <w:r w:rsidRPr="0061089A">
        <w:rPr>
          <w:kern w:val="0"/>
          <w:sz w:val="26"/>
          <w:szCs w:val="26"/>
        </w:rPr>
        <w:t>(B)</w:t>
      </w:r>
      <w:r w:rsidR="005A2F4E" w:rsidRPr="005A2F4E">
        <w:t xml:space="preserve"> </w:t>
      </w:r>
      <w:r w:rsidR="005A2F4E" w:rsidRPr="005A2F4E">
        <w:rPr>
          <w:kern w:val="0"/>
          <w:sz w:val="26"/>
          <w:szCs w:val="26"/>
        </w:rPr>
        <w:t>1°</w:t>
      </w:r>
    </w:p>
    <w:p w14:paraId="6F3FC2CA" w14:textId="77777777" w:rsidR="0061089A" w:rsidRPr="005A2F4E" w:rsidRDefault="005A2F4E" w:rsidP="005A2F4E">
      <w:pPr>
        <w:tabs>
          <w:tab w:val="left" w:pos="426"/>
        </w:tabs>
        <w:autoSpaceDE w:val="0"/>
        <w:autoSpaceDN w:val="0"/>
        <w:adjustRightInd w:val="0"/>
        <w:ind w:left="480"/>
        <w:rPr>
          <w:kern w:val="0"/>
          <w:sz w:val="26"/>
          <w:szCs w:val="26"/>
        </w:rPr>
      </w:pPr>
      <w:r>
        <w:rPr>
          <w:rFonts w:hint="eastAsia"/>
          <w:kern w:val="0"/>
          <w:sz w:val="26"/>
          <w:szCs w:val="26"/>
        </w:rPr>
        <w:t xml:space="preserve">  </w:t>
      </w:r>
      <w:r w:rsidR="0061089A" w:rsidRPr="0061089A">
        <w:rPr>
          <w:kern w:val="0"/>
          <w:sz w:val="26"/>
          <w:szCs w:val="26"/>
        </w:rPr>
        <w:t xml:space="preserve"> </w:t>
      </w:r>
      <w:r w:rsidR="0061089A"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="0061089A" w:rsidRPr="005A2F4E">
        <w:rPr>
          <w:kern w:val="0"/>
          <w:sz w:val="26"/>
          <w:szCs w:val="26"/>
        </w:rPr>
        <w:t>(C)</w:t>
      </w:r>
      <w:r w:rsidRPr="005A2F4E">
        <w:t xml:space="preserve"> </w:t>
      </w:r>
      <w:r w:rsidRPr="005A2F4E">
        <w:rPr>
          <w:kern w:val="0"/>
          <w:sz w:val="26"/>
          <w:szCs w:val="26"/>
        </w:rPr>
        <w:t>7°</w:t>
      </w:r>
      <w:r w:rsidR="0061089A" w:rsidRPr="005A2F4E">
        <w:rPr>
          <w:kern w:val="0"/>
          <w:sz w:val="26"/>
          <w:szCs w:val="26"/>
        </w:rPr>
        <w:t xml:space="preserve"> </w:t>
      </w:r>
      <w:r w:rsidR="001F4D45">
        <w:rPr>
          <w:rFonts w:ascii="Arial" w:hAnsi="Arial" w:hint="eastAsia"/>
          <w:kern w:val="0"/>
          <w:sz w:val="26"/>
          <w:szCs w:val="26"/>
        </w:rPr>
        <w:t xml:space="preserve"> </w:t>
      </w:r>
      <w:r w:rsidR="0061089A" w:rsidRPr="005A2F4E">
        <w:rPr>
          <w:kern w:val="0"/>
          <w:sz w:val="26"/>
          <w:szCs w:val="26"/>
        </w:rPr>
        <w:t>(D)</w:t>
      </w:r>
      <w:r w:rsidRPr="005A2F4E">
        <w:rPr>
          <w:sz w:val="26"/>
          <w:szCs w:val="26"/>
        </w:rPr>
        <w:t xml:space="preserve"> 5°</w:t>
      </w:r>
      <w:r w:rsidR="0061089A" w:rsidRPr="005A2F4E">
        <w:rPr>
          <w:kern w:val="0"/>
          <w:sz w:val="26"/>
          <w:szCs w:val="26"/>
        </w:rPr>
        <w:t xml:space="preserve"> </w:t>
      </w:r>
    </w:p>
    <w:p w14:paraId="7C20C26E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製作木模時先在木板上繪製比例為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的木模工作圖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2</w:t>
      </w:r>
      <w:r w:rsidRPr="0061089A">
        <w:rPr>
          <w:rFonts w:hint="eastAsia"/>
          <w:sz w:val="26"/>
          <w:szCs w:val="26"/>
        </w:rPr>
        <w:t>：</w:t>
      </w:r>
      <w:r w:rsidRPr="0061089A">
        <w:rPr>
          <w:sz w:val="26"/>
          <w:szCs w:val="26"/>
        </w:rPr>
        <w:t>1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1</w:t>
      </w:r>
      <w:r w:rsidRPr="0061089A">
        <w:rPr>
          <w:rFonts w:hint="eastAsia"/>
          <w:sz w:val="26"/>
          <w:szCs w:val="26"/>
        </w:rPr>
        <w:t>：</w:t>
      </w:r>
      <w:r w:rsidRPr="0061089A">
        <w:rPr>
          <w:sz w:val="26"/>
          <w:szCs w:val="26"/>
        </w:rPr>
        <w:t>1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1</w:t>
      </w:r>
      <w:r w:rsidRPr="0061089A">
        <w:rPr>
          <w:rFonts w:hint="eastAsia"/>
          <w:sz w:val="26"/>
          <w:szCs w:val="26"/>
        </w:rPr>
        <w:t>：</w:t>
      </w:r>
      <w:r w:rsidRPr="0061089A">
        <w:rPr>
          <w:sz w:val="26"/>
          <w:szCs w:val="26"/>
        </w:rPr>
        <w:t>2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1</w:t>
      </w:r>
      <w:r w:rsidRPr="0061089A">
        <w:rPr>
          <w:rFonts w:hint="eastAsia"/>
          <w:sz w:val="26"/>
          <w:szCs w:val="26"/>
        </w:rPr>
        <w:t>：</w:t>
      </w:r>
      <w:r w:rsidRPr="0061089A">
        <w:rPr>
          <w:sz w:val="26"/>
          <w:szCs w:val="26"/>
        </w:rPr>
        <w:t>5</w:t>
      </w:r>
      <w:r w:rsidRPr="0061089A">
        <w:rPr>
          <w:kern w:val="0"/>
          <w:sz w:val="26"/>
          <w:szCs w:val="26"/>
        </w:rPr>
        <w:t xml:space="preserve"> </w:t>
      </w:r>
    </w:p>
    <w:p w14:paraId="0FCFEA54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製作木模時，按成品詳圖之尺寸先在木板上以鑄造尺繪出其三視圖，此時的三視圖已加放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收縮裕度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加工裕度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起模斜度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振動裕度</w:t>
      </w:r>
      <w:r w:rsidRPr="0061089A">
        <w:rPr>
          <w:kern w:val="0"/>
          <w:sz w:val="26"/>
          <w:szCs w:val="26"/>
        </w:rPr>
        <w:t xml:space="preserve"> </w:t>
      </w:r>
    </w:p>
    <w:p w14:paraId="365D4F70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製作木模時，按成品詳圖之尺寸，以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在木板上繪製木模工作圖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標準鋼尺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鑄造尺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門公尺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捲尺</w:t>
      </w:r>
      <w:r w:rsidRPr="0061089A">
        <w:rPr>
          <w:kern w:val="0"/>
          <w:sz w:val="26"/>
          <w:szCs w:val="26"/>
        </w:rPr>
        <w:t xml:space="preserve"> </w:t>
      </w:r>
    </w:p>
    <w:p w14:paraId="34BD5AFF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依據我國木模塗色的規定，於鑄件需加工部位塗上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紅色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黑色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銀色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綠色</w:t>
      </w:r>
      <w:r w:rsidRPr="0061089A">
        <w:rPr>
          <w:kern w:val="0"/>
          <w:sz w:val="26"/>
          <w:szCs w:val="26"/>
        </w:rPr>
        <w:t xml:space="preserve"> </w:t>
      </w:r>
    </w:p>
    <w:p w14:paraId="5F58C446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一般小型鑄件其加工裕度約為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1 mm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3 mm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5 mm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7 mm</w:t>
      </w:r>
      <w:r w:rsidRPr="0061089A">
        <w:rPr>
          <w:kern w:val="0"/>
          <w:sz w:val="26"/>
          <w:szCs w:val="26"/>
        </w:rPr>
        <w:t xml:space="preserve"> </w:t>
      </w:r>
    </w:p>
    <w:p w14:paraId="6B6E90E3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為避免鑄件冷卻時收縮發生裂痕、收縮孔，故鑄件轉角應設計成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尖銳角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直角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圓角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以上皆非</w:t>
      </w:r>
      <w:r w:rsidRPr="0061089A">
        <w:rPr>
          <w:kern w:val="0"/>
          <w:sz w:val="26"/>
          <w:szCs w:val="26"/>
        </w:rPr>
        <w:t xml:space="preserve"> </w:t>
      </w:r>
    </w:p>
    <w:p w14:paraId="0BB93E0B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為使造模時模型易於由砂模中取出，製木模時要考慮到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加工裕度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變形裕度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拔模斜度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收縮裕度</w:t>
      </w:r>
      <w:r w:rsidRPr="0061089A">
        <w:rPr>
          <w:kern w:val="0"/>
          <w:sz w:val="26"/>
          <w:szCs w:val="26"/>
        </w:rPr>
        <w:t xml:space="preserve"> </w:t>
      </w:r>
    </w:p>
    <w:p w14:paraId="5C8DDCEC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鑄鐵之冷卻收縮量約為鑄鋼冷卻收縮量之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0.5</w:t>
      </w:r>
      <w:r w:rsidRPr="0061089A">
        <w:rPr>
          <w:rFonts w:hint="eastAsia"/>
          <w:sz w:val="26"/>
          <w:szCs w:val="26"/>
        </w:rPr>
        <w:t>倍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1.0</w:t>
      </w:r>
      <w:r w:rsidRPr="0061089A">
        <w:rPr>
          <w:rFonts w:hint="eastAsia"/>
          <w:sz w:val="26"/>
          <w:szCs w:val="26"/>
        </w:rPr>
        <w:t>倍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2.0</w:t>
      </w:r>
      <w:r w:rsidRPr="0061089A">
        <w:rPr>
          <w:rFonts w:hint="eastAsia"/>
          <w:sz w:val="26"/>
          <w:szCs w:val="26"/>
        </w:rPr>
        <w:t>倍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3.0</w:t>
      </w:r>
      <w:r w:rsidRPr="0061089A">
        <w:rPr>
          <w:rFonts w:hint="eastAsia"/>
          <w:sz w:val="26"/>
          <w:szCs w:val="26"/>
        </w:rPr>
        <w:t>倍</w:t>
      </w:r>
      <w:r w:rsidRPr="0061089A">
        <w:rPr>
          <w:kern w:val="0"/>
          <w:sz w:val="26"/>
          <w:szCs w:val="26"/>
        </w:rPr>
        <w:t xml:space="preserve"> </w:t>
      </w:r>
    </w:p>
    <w:p w14:paraId="49613B07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鑄造時使用的木模，其接合面常設計成內或外圓角，其目的是為了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美觀耐用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加工方便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增加鑄件強度，減少冷縮應變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使熔液容易流動</w:t>
      </w:r>
      <w:r w:rsidRPr="0061089A">
        <w:rPr>
          <w:kern w:val="0"/>
          <w:sz w:val="26"/>
          <w:szCs w:val="26"/>
        </w:rPr>
        <w:t xml:space="preserve"> </w:t>
      </w:r>
    </w:p>
    <w:p w14:paraId="32224799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在製作木模時，下列何種材料的鑄件應加放最大的收縮裕度</w:t>
      </w:r>
      <w:r w:rsidRPr="0061089A">
        <w:rPr>
          <w:sz w:val="26"/>
          <w:szCs w:val="26"/>
        </w:rPr>
        <w:t>(shrink-age allowance)</w:t>
      </w:r>
      <w:r w:rsidRPr="0061089A">
        <w:rPr>
          <w:rFonts w:hint="eastAsia"/>
          <w:sz w:val="26"/>
          <w:szCs w:val="26"/>
        </w:rPr>
        <w:t>？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鑄鐵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鑄鋼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鋁合金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黃銅</w:t>
      </w:r>
      <w:r w:rsidRPr="0061089A">
        <w:rPr>
          <w:kern w:val="0"/>
          <w:sz w:val="26"/>
          <w:szCs w:val="26"/>
        </w:rPr>
        <w:t xml:space="preserve"> </w:t>
      </w:r>
    </w:p>
    <w:p w14:paraId="68217A11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金屬鑄造時，若僅考慮凝固時體積收縮之因素，在製作模型時除了收縮裕度外，還需考慮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拔模斜度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加工裕度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變形裕度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振動裕度</w:t>
      </w:r>
      <w:r w:rsidRPr="0061089A">
        <w:rPr>
          <w:kern w:val="0"/>
          <w:sz w:val="26"/>
          <w:szCs w:val="26"/>
        </w:rPr>
        <w:t xml:space="preserve"> </w:t>
      </w:r>
    </w:p>
    <w:p w14:paraId="6754D4EF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機械造模用的模型所加放之加工裕度ˍˍˍˍ手工造模用的模型所加放之加工裕度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大於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小於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等於</w:t>
      </w:r>
      <w:r w:rsidRPr="0061089A">
        <w:rPr>
          <w:kern w:val="0"/>
          <w:sz w:val="26"/>
          <w:szCs w:val="26"/>
        </w:rPr>
        <w:t xml:space="preserve"> </w:t>
      </w:r>
    </w:p>
    <w:p w14:paraId="3C79D135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模型內孔部位加放的起模斜度ˍˍˍˍ模型外形部位加放的起模斜度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大於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小於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等於</w:t>
      </w:r>
      <w:r w:rsidRPr="0061089A">
        <w:rPr>
          <w:kern w:val="0"/>
          <w:sz w:val="26"/>
          <w:szCs w:val="26"/>
        </w:rPr>
        <w:t xml:space="preserve"> </w:t>
      </w:r>
    </w:p>
    <w:p w14:paraId="285BA5D0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鑄造廠在模型製作前，即需顧慮到的重點是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鑄砂種類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鑄件設計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模型材料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製作方法</w:t>
      </w:r>
      <w:r w:rsidRPr="0061089A">
        <w:rPr>
          <w:kern w:val="0"/>
          <w:sz w:val="26"/>
          <w:szCs w:val="26"/>
        </w:rPr>
        <w:t xml:space="preserve"> </w:t>
      </w:r>
    </w:p>
    <w:p w14:paraId="5EF4E1F2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下列的那一種鑄件設計較不會形成熱點現象？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尖角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較多的斷面聚合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斷面厚薄不同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圓角</w:t>
      </w:r>
      <w:r w:rsidRPr="0061089A">
        <w:rPr>
          <w:kern w:val="0"/>
          <w:sz w:val="26"/>
          <w:szCs w:val="26"/>
        </w:rPr>
        <w:t xml:space="preserve"> </w:t>
      </w:r>
    </w:p>
    <w:p w14:paraId="738CE265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下列何者不是澆池開設的目的？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便於澆鑄金屬液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排除低溫的金屬液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隔離雜質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達到整流效果</w:t>
      </w:r>
      <w:r w:rsidRPr="0061089A">
        <w:rPr>
          <w:kern w:val="0"/>
          <w:sz w:val="26"/>
          <w:szCs w:val="26"/>
        </w:rPr>
        <w:t xml:space="preserve"> </w:t>
      </w:r>
    </w:p>
    <w:p w14:paraId="7ED62297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豎澆道的主要功用為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便於澆鑄金屬液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隔離雜質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達到整流效果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輸送金屬液</w:t>
      </w:r>
      <w:r w:rsidRPr="0061089A">
        <w:rPr>
          <w:kern w:val="0"/>
          <w:sz w:val="26"/>
          <w:szCs w:val="26"/>
        </w:rPr>
        <w:t xml:space="preserve"> </w:t>
      </w:r>
    </w:p>
    <w:p w14:paraId="77F9FC41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下列何者不是豎澆道採圓柱形且上方直徑較下方直徑為大的目的？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避免夾入氣體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控制澆鑄速度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隔離雜質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達到整流效果</w:t>
      </w:r>
      <w:r w:rsidRPr="0061089A">
        <w:rPr>
          <w:kern w:val="0"/>
          <w:sz w:val="26"/>
          <w:szCs w:val="26"/>
        </w:rPr>
        <w:t xml:space="preserve"> </w:t>
      </w:r>
    </w:p>
    <w:p w14:paraId="4C4F3E20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豎澆道底的設計可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減少亂流發生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控制澆鑄速度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隔離雜質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避免夾入氣體</w:t>
      </w:r>
      <w:r w:rsidRPr="0061089A">
        <w:rPr>
          <w:kern w:val="0"/>
          <w:sz w:val="26"/>
          <w:szCs w:val="26"/>
        </w:rPr>
        <w:t xml:space="preserve"> </w:t>
      </w:r>
    </w:p>
    <w:p w14:paraId="170F3CDA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豎澆道底的高度應低於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底部的高度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模穴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豎澆道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橫流道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進模口</w:t>
      </w:r>
      <w:r w:rsidRPr="0061089A">
        <w:rPr>
          <w:kern w:val="0"/>
          <w:sz w:val="26"/>
          <w:szCs w:val="26"/>
        </w:rPr>
        <w:t xml:space="preserve"> </w:t>
      </w:r>
    </w:p>
    <w:p w14:paraId="3E9E27E6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冒口應設置在鑄件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斷面較厚的部位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斷面較薄的部位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離澆口較遠的地方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離澆口最近的</w:t>
      </w:r>
      <w:r w:rsidRPr="0061089A">
        <w:rPr>
          <w:rFonts w:hint="eastAsia"/>
          <w:sz w:val="26"/>
          <w:szCs w:val="26"/>
        </w:rPr>
        <w:lastRenderedPageBreak/>
        <w:t>地方</w:t>
      </w:r>
      <w:r w:rsidRPr="0061089A">
        <w:rPr>
          <w:kern w:val="0"/>
          <w:sz w:val="26"/>
          <w:szCs w:val="26"/>
        </w:rPr>
        <w:t xml:space="preserve"> </w:t>
      </w:r>
    </w:p>
    <w:p w14:paraId="546D7EF1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冒口最主要功用為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排泄氣體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控制澆鑄速度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排除低溫的金屬液及浮渣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補充金屬液體凝固收縮</w:t>
      </w:r>
      <w:r w:rsidRPr="0061089A">
        <w:rPr>
          <w:kern w:val="0"/>
          <w:sz w:val="26"/>
          <w:szCs w:val="26"/>
        </w:rPr>
        <w:t xml:space="preserve"> </w:t>
      </w:r>
    </w:p>
    <w:p w14:paraId="07ABBBF8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溢放口最主要功用為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排泄氣體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控制澆鑄速度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排除低溫的金屬液及浮渣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補充金屬液體凝固收縮</w:t>
      </w:r>
      <w:r w:rsidRPr="0061089A">
        <w:rPr>
          <w:kern w:val="0"/>
          <w:sz w:val="26"/>
          <w:szCs w:val="26"/>
        </w:rPr>
        <w:t xml:space="preserve"> </w:t>
      </w:r>
    </w:p>
    <w:p w14:paraId="6256D975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溢放口的大小較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的直徑為大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通氣孔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豎澆道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橫流道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進模口</w:t>
      </w:r>
      <w:r w:rsidRPr="0061089A">
        <w:rPr>
          <w:kern w:val="0"/>
          <w:sz w:val="26"/>
          <w:szCs w:val="26"/>
        </w:rPr>
        <w:t xml:space="preserve"> </w:t>
      </w:r>
    </w:p>
    <w:p w14:paraId="38E13878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橫流道尾的長度應大於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的寬度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豎澆道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橫流道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進模口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澆口杯</w:t>
      </w:r>
      <w:r w:rsidRPr="0061089A">
        <w:rPr>
          <w:kern w:val="0"/>
          <w:sz w:val="26"/>
          <w:szCs w:val="26"/>
        </w:rPr>
        <w:t xml:space="preserve"> </w:t>
      </w:r>
    </w:p>
    <w:p w14:paraId="33401AB4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當進模口總斷面積小於豎澆道時，是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增壓澆口系統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減壓澆口系統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正壓澆口系統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側壓澆口系統</w:t>
      </w:r>
      <w:r w:rsidRPr="0061089A">
        <w:rPr>
          <w:kern w:val="0"/>
          <w:sz w:val="26"/>
          <w:szCs w:val="26"/>
        </w:rPr>
        <w:t xml:space="preserve"> </w:t>
      </w:r>
    </w:p>
    <w:p w14:paraId="3D4D2D54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增壓澆口系的特徵之一為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造模困難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成品率高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各進模口之流量較難平均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流速慢</w:t>
      </w:r>
      <w:r w:rsidRPr="0061089A">
        <w:rPr>
          <w:kern w:val="0"/>
          <w:sz w:val="26"/>
          <w:szCs w:val="26"/>
        </w:rPr>
        <w:t xml:space="preserve"> </w:t>
      </w:r>
    </w:p>
    <w:p w14:paraId="54D0C35C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澆口陶管是由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材料，經擠壓成型自然陰乾，再經高溫焙燒磁化而成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陶土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耐火黏土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石墨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矽砂</w:t>
      </w:r>
      <w:r w:rsidRPr="0061089A">
        <w:rPr>
          <w:kern w:val="0"/>
          <w:sz w:val="26"/>
          <w:szCs w:val="26"/>
        </w:rPr>
        <w:t xml:space="preserve"> </w:t>
      </w:r>
    </w:p>
    <w:p w14:paraId="67E38413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有關澆口陶管，下列敘述何者為錯誤的？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可避免澆道受高溫金屬液沖蝕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可防止澆道內產生亂流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可增加金屬液的流速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可生產較高品質之鑄件</w:t>
      </w:r>
      <w:r w:rsidRPr="0061089A">
        <w:rPr>
          <w:kern w:val="0"/>
          <w:sz w:val="26"/>
          <w:szCs w:val="26"/>
        </w:rPr>
        <w:t xml:space="preserve"> </w:t>
      </w:r>
    </w:p>
    <w:p w14:paraId="1E4EBD13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排氣不易的鑄模，澆鑄速度若太快，會產生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沖砂現象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脹模現象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滯流現象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剝砂現象</w:t>
      </w:r>
      <w:r w:rsidRPr="0061089A">
        <w:rPr>
          <w:kern w:val="0"/>
          <w:sz w:val="26"/>
          <w:szCs w:val="26"/>
        </w:rPr>
        <w:t xml:space="preserve"> </w:t>
      </w:r>
    </w:p>
    <w:p w14:paraId="4DB83228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黏土含量高、高溫變形大之鑄砂，易發生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，故澆鑄速度應快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沖砂現象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脹模現象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滯流現象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剝砂現象</w:t>
      </w:r>
      <w:r w:rsidRPr="0061089A">
        <w:rPr>
          <w:kern w:val="0"/>
          <w:sz w:val="26"/>
          <w:szCs w:val="26"/>
        </w:rPr>
        <w:t xml:space="preserve"> </w:t>
      </w:r>
    </w:p>
    <w:p w14:paraId="2E690179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鐵水的溫度每提高</w:t>
      </w:r>
      <w:r w:rsidRPr="0061089A">
        <w:rPr>
          <w:sz w:val="26"/>
          <w:szCs w:val="26"/>
        </w:rPr>
        <w:t>50</w:t>
      </w:r>
      <w:r w:rsidRPr="0061089A">
        <w:rPr>
          <w:rFonts w:hint="eastAsia"/>
          <w:sz w:val="26"/>
          <w:szCs w:val="26"/>
        </w:rPr>
        <w:t>℃，澆鑄速度應慢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sz w:val="26"/>
          <w:szCs w:val="26"/>
        </w:rPr>
        <w:t>5%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sz w:val="26"/>
          <w:szCs w:val="26"/>
        </w:rPr>
        <w:t>10%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sz w:val="26"/>
          <w:szCs w:val="26"/>
        </w:rPr>
        <w:t>15%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sz w:val="26"/>
          <w:szCs w:val="26"/>
        </w:rPr>
        <w:t>20%</w:t>
      </w:r>
      <w:r w:rsidRPr="0061089A">
        <w:rPr>
          <w:kern w:val="0"/>
          <w:sz w:val="26"/>
          <w:szCs w:val="26"/>
        </w:rPr>
        <w:t xml:space="preserve"> </w:t>
      </w:r>
    </w:p>
    <w:p w14:paraId="0D6A49BD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澆口系統重量少，成品率高的特徵是屬於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增壓澆口系統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減壓澆口系統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以上皆有可能</w:t>
      </w:r>
      <w:r w:rsidRPr="0061089A">
        <w:rPr>
          <w:kern w:val="0"/>
          <w:sz w:val="26"/>
          <w:szCs w:val="26"/>
        </w:rPr>
        <w:t xml:space="preserve"> </w:t>
      </w:r>
    </w:p>
    <w:p w14:paraId="419B95C7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流動速度快，吸氣、夾渣機會大的特徵是屬於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增壓澆口系統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減壓澆口系統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以上皆有可能</w:t>
      </w:r>
      <w:r w:rsidRPr="0061089A">
        <w:rPr>
          <w:kern w:val="0"/>
          <w:sz w:val="26"/>
          <w:szCs w:val="26"/>
        </w:rPr>
        <w:t xml:space="preserve"> </w:t>
      </w:r>
    </w:p>
    <w:p w14:paraId="08CDBD07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溶液溫度較低者，其澆鑄速度應ˍˍˍˍ溶液溫度較高者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大於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小於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等於</w:t>
      </w:r>
      <w:r w:rsidRPr="0061089A">
        <w:rPr>
          <w:kern w:val="0"/>
          <w:sz w:val="26"/>
          <w:szCs w:val="26"/>
        </w:rPr>
        <w:t xml:space="preserve"> </w:t>
      </w:r>
    </w:p>
    <w:p w14:paraId="57D95ED4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薄鑄件之澆鑄速度應ˍˍˍˍ厚鑄件者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大於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小於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等於</w:t>
      </w:r>
      <w:r w:rsidRPr="0061089A">
        <w:rPr>
          <w:kern w:val="0"/>
          <w:sz w:val="26"/>
          <w:szCs w:val="26"/>
        </w:rPr>
        <w:t xml:space="preserve"> </w:t>
      </w:r>
    </w:p>
    <w:p w14:paraId="4917C814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當冒口體積相同時，以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冒口之冷卻凝固時間最長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球形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圓柱形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方柱形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平板形</w:t>
      </w:r>
      <w:r w:rsidRPr="0061089A">
        <w:rPr>
          <w:kern w:val="0"/>
          <w:sz w:val="26"/>
          <w:szCs w:val="26"/>
        </w:rPr>
        <w:t xml:space="preserve"> </w:t>
      </w:r>
    </w:p>
    <w:p w14:paraId="306371AC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以冒口形狀而言，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冒口之效率最佳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球形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圓柱形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方柱形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平板形</w:t>
      </w:r>
      <w:r w:rsidRPr="0061089A">
        <w:rPr>
          <w:kern w:val="0"/>
          <w:sz w:val="26"/>
          <w:szCs w:val="26"/>
        </w:rPr>
        <w:t xml:space="preserve"> </w:t>
      </w:r>
    </w:p>
    <w:p w14:paraId="720C951E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冒口形狀應選擇ˍˍˍˍ凝固者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最快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最慢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快或慢皆可</w:t>
      </w:r>
      <w:r w:rsidRPr="0061089A">
        <w:rPr>
          <w:kern w:val="0"/>
          <w:sz w:val="26"/>
          <w:szCs w:val="26"/>
        </w:rPr>
        <w:t xml:space="preserve"> </w:t>
      </w:r>
    </w:p>
    <w:p w14:paraId="67C1A498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冒口直徑必須ˍˍˍˍ鑄件厚度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大於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小於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等於</w:t>
      </w:r>
      <w:r w:rsidRPr="0061089A">
        <w:rPr>
          <w:kern w:val="0"/>
          <w:sz w:val="26"/>
          <w:szCs w:val="26"/>
        </w:rPr>
        <w:t xml:space="preserve"> </w:t>
      </w:r>
    </w:p>
    <w:p w14:paraId="0AD44F70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過濾板又稱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擋渣板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隔離板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撇渣砂心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除渣板</w:t>
      </w:r>
      <w:r w:rsidRPr="0061089A">
        <w:rPr>
          <w:kern w:val="0"/>
          <w:sz w:val="26"/>
          <w:szCs w:val="26"/>
        </w:rPr>
        <w:t xml:space="preserve"> </w:t>
      </w:r>
    </w:p>
    <w:p w14:paraId="0DF8249A" w14:textId="77777777" w:rsidR="0061089A" w:rsidRPr="0061089A" w:rsidRDefault="0061089A" w:rsidP="0061089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  <w:sz w:val="26"/>
          <w:szCs w:val="26"/>
        </w:rPr>
      </w:pPr>
      <w:r w:rsidRPr="0061089A">
        <w:rPr>
          <w:kern w:val="0"/>
          <w:sz w:val="26"/>
          <w:szCs w:val="26"/>
        </w:rPr>
        <w:t>(    )</w:t>
      </w:r>
      <w:r w:rsidRPr="0061089A">
        <w:rPr>
          <w:rFonts w:hint="eastAsia"/>
          <w:sz w:val="26"/>
          <w:szCs w:val="26"/>
        </w:rPr>
        <w:t>橫流道尾的長度應大於</w:t>
      </w:r>
      <w:r w:rsidRPr="0061089A">
        <w:rPr>
          <w:rFonts w:hint="eastAsia"/>
          <w:sz w:val="26"/>
          <w:szCs w:val="26"/>
          <w:u w:val="single"/>
        </w:rPr>
        <w:t xml:space="preserve">　　　</w:t>
      </w:r>
      <w:r w:rsidRPr="0061089A">
        <w:rPr>
          <w:rFonts w:hint="eastAsia"/>
          <w:sz w:val="26"/>
          <w:szCs w:val="26"/>
        </w:rPr>
        <w:t>的寬度</w:t>
      </w:r>
      <w:r w:rsidRPr="0061089A">
        <w:rPr>
          <w:kern w:val="0"/>
          <w:sz w:val="26"/>
          <w:szCs w:val="26"/>
        </w:rPr>
        <w:t xml:space="preserve"> (A)</w:t>
      </w:r>
      <w:r w:rsidRPr="0061089A">
        <w:rPr>
          <w:rFonts w:hint="eastAsia"/>
          <w:sz w:val="26"/>
          <w:szCs w:val="26"/>
        </w:rPr>
        <w:t>豎澆道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(B)</w:t>
      </w:r>
      <w:r w:rsidRPr="0061089A">
        <w:rPr>
          <w:rFonts w:hint="eastAsia"/>
          <w:sz w:val="26"/>
          <w:szCs w:val="26"/>
        </w:rPr>
        <w:t>橫流道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(C)</w:t>
      </w:r>
      <w:r w:rsidRPr="0061089A">
        <w:rPr>
          <w:rFonts w:hint="eastAsia"/>
          <w:sz w:val="26"/>
          <w:szCs w:val="26"/>
        </w:rPr>
        <w:t>進模口</w:t>
      </w:r>
      <w:r w:rsidRPr="0061089A">
        <w:rPr>
          <w:kern w:val="0"/>
          <w:sz w:val="26"/>
          <w:szCs w:val="26"/>
        </w:rPr>
        <w:t xml:space="preserve"> </w:t>
      </w:r>
      <w:r w:rsidRPr="0061089A">
        <w:rPr>
          <w:rFonts w:ascii="Arial" w:hAnsi="Arial" w:hint="eastAsia"/>
          <w:kern w:val="0"/>
          <w:sz w:val="26"/>
          <w:szCs w:val="26"/>
        </w:rPr>
        <w:t xml:space="preserve">　</w:t>
      </w:r>
      <w:r w:rsidRPr="0061089A">
        <w:rPr>
          <w:kern w:val="0"/>
          <w:sz w:val="26"/>
          <w:szCs w:val="26"/>
        </w:rPr>
        <w:t>(D)</w:t>
      </w:r>
      <w:r w:rsidRPr="0061089A">
        <w:rPr>
          <w:rFonts w:hint="eastAsia"/>
          <w:sz w:val="26"/>
          <w:szCs w:val="26"/>
        </w:rPr>
        <w:t>澆口杯</w:t>
      </w:r>
      <w:r w:rsidRPr="0061089A">
        <w:rPr>
          <w:kern w:val="0"/>
          <w:sz w:val="26"/>
          <w:szCs w:val="26"/>
        </w:rPr>
        <w:t xml:space="preserve"> </w:t>
      </w:r>
    </w:p>
    <w:p w14:paraId="03A0E22B" w14:textId="77777777" w:rsidR="0061089A" w:rsidRPr="0061089A" w:rsidRDefault="0061089A" w:rsidP="007C551D">
      <w:pPr>
        <w:autoSpaceDE w:val="0"/>
        <w:autoSpaceDN w:val="0"/>
        <w:adjustRightInd w:val="0"/>
        <w:rPr>
          <w:rFonts w:ascii="Arial" w:eastAsia="新細明體" w:hAnsi="Arial" w:cs="Times New Roman"/>
          <w:b/>
          <w:kern w:val="0"/>
          <w:szCs w:val="24"/>
        </w:rPr>
      </w:pPr>
    </w:p>
    <w:p w14:paraId="4E114444" w14:textId="77777777" w:rsidR="00B07999" w:rsidRPr="007C551D" w:rsidRDefault="00B07999"/>
    <w:sectPr w:rsidR="00B07999" w:rsidRPr="007C551D" w:rsidSect="00ED3002">
      <w:type w:val="continuous"/>
      <w:pgSz w:w="14572" w:h="2063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7CB69" w14:textId="77777777" w:rsidR="00ED3002" w:rsidRDefault="00ED3002" w:rsidP="00E44176">
      <w:r>
        <w:separator/>
      </w:r>
    </w:p>
  </w:endnote>
  <w:endnote w:type="continuationSeparator" w:id="0">
    <w:p w14:paraId="1E936B11" w14:textId="77777777" w:rsidR="00ED3002" w:rsidRDefault="00ED3002" w:rsidP="00E44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9354104"/>
      <w:docPartObj>
        <w:docPartGallery w:val="Page Numbers (Bottom of Page)"/>
        <w:docPartUnique/>
      </w:docPartObj>
    </w:sdtPr>
    <w:sdtContent>
      <w:p w14:paraId="2749E484" w14:textId="77777777" w:rsidR="00E44176" w:rsidRDefault="00E4417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31E8" w:rsidRPr="004631E8">
          <w:rPr>
            <w:noProof/>
            <w:lang w:val="zh-TW"/>
          </w:rPr>
          <w:t>1</w:t>
        </w:r>
        <w:r>
          <w:fldChar w:fldCharType="end"/>
        </w:r>
      </w:p>
    </w:sdtContent>
  </w:sdt>
  <w:p w14:paraId="58D067DB" w14:textId="77777777" w:rsidR="00E44176" w:rsidRDefault="00E4417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2D375" w14:textId="77777777" w:rsidR="00ED3002" w:rsidRDefault="00ED3002" w:rsidP="00E44176">
      <w:r>
        <w:separator/>
      </w:r>
    </w:p>
  </w:footnote>
  <w:footnote w:type="continuationSeparator" w:id="0">
    <w:p w14:paraId="0DD53F9C" w14:textId="77777777" w:rsidR="00ED3002" w:rsidRDefault="00ED3002" w:rsidP="00E441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E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18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67841024">
    <w:abstractNumId w:val="0"/>
  </w:num>
  <w:num w:numId="2" w16cid:durableId="296420385">
    <w:abstractNumId w:val="1"/>
  </w:num>
  <w:num w:numId="3" w16cid:durableId="612053196">
    <w:abstractNumId w:val="2"/>
  </w:num>
  <w:num w:numId="4" w16cid:durableId="1651666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51D"/>
    <w:rsid w:val="0016498D"/>
    <w:rsid w:val="001F203F"/>
    <w:rsid w:val="001F4D45"/>
    <w:rsid w:val="002622AF"/>
    <w:rsid w:val="002F410F"/>
    <w:rsid w:val="004631E8"/>
    <w:rsid w:val="0047607A"/>
    <w:rsid w:val="005A2F4E"/>
    <w:rsid w:val="0061089A"/>
    <w:rsid w:val="006B321F"/>
    <w:rsid w:val="00787EF0"/>
    <w:rsid w:val="007C551D"/>
    <w:rsid w:val="00955EC7"/>
    <w:rsid w:val="00A57BCA"/>
    <w:rsid w:val="00A70F0F"/>
    <w:rsid w:val="00B07999"/>
    <w:rsid w:val="00B85CA4"/>
    <w:rsid w:val="00C246B7"/>
    <w:rsid w:val="00DC6C0E"/>
    <w:rsid w:val="00E44176"/>
    <w:rsid w:val="00EA5FB6"/>
    <w:rsid w:val="00ED3002"/>
    <w:rsid w:val="00EE2F5F"/>
    <w:rsid w:val="00F80468"/>
    <w:rsid w:val="00FB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ABCB"/>
  <w15:chartTrackingRefBased/>
  <w15:docId w15:val="{881A3B39-DDF2-4B25-BDA2-C0F950D81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9"/>
    <w:qFormat/>
    <w:rsid w:val="007C551D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7C551D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7C551D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rsid w:val="007C551D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rsid w:val="007C551D"/>
    <w:rPr>
      <w:rFonts w:ascii="Arial" w:eastAsia="新細明體" w:hAnsi="Arial" w:cs="Arial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rsid w:val="007C551D"/>
    <w:rPr>
      <w:rFonts w:ascii="Arial" w:eastAsia="新細明體" w:hAnsi="Arial" w:cs="Arial"/>
      <w:b/>
      <w:bCs/>
      <w:sz w:val="36"/>
      <w:szCs w:val="36"/>
    </w:rPr>
  </w:style>
  <w:style w:type="numbering" w:customStyle="1" w:styleId="11">
    <w:name w:val="無清單1"/>
    <w:next w:val="a2"/>
    <w:uiPriority w:val="99"/>
    <w:semiHidden/>
    <w:unhideWhenUsed/>
    <w:rsid w:val="007C551D"/>
  </w:style>
  <w:style w:type="paragraph" w:styleId="a3">
    <w:name w:val="header"/>
    <w:basedOn w:val="a"/>
    <w:link w:val="a4"/>
    <w:uiPriority w:val="99"/>
    <w:unhideWhenUsed/>
    <w:rsid w:val="00E441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417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41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417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dcterms:created xsi:type="dcterms:W3CDTF">2024-01-26T00:59:00Z</dcterms:created>
  <dcterms:modified xsi:type="dcterms:W3CDTF">2024-01-26T00:59:00Z</dcterms:modified>
</cp:coreProperties>
</file>