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2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977"/>
        <w:gridCol w:w="1134"/>
        <w:gridCol w:w="992"/>
        <w:gridCol w:w="1054"/>
        <w:gridCol w:w="1560"/>
        <w:gridCol w:w="567"/>
        <w:gridCol w:w="425"/>
        <w:gridCol w:w="850"/>
        <w:gridCol w:w="930"/>
        <w:gridCol w:w="567"/>
        <w:gridCol w:w="63"/>
        <w:gridCol w:w="221"/>
        <w:gridCol w:w="567"/>
        <w:gridCol w:w="425"/>
        <w:gridCol w:w="204"/>
        <w:gridCol w:w="1355"/>
      </w:tblGrid>
      <w:tr w:rsidR="00162D29" w:rsidRPr="00A447CA" w:rsidTr="00DF5375">
        <w:trPr>
          <w:cantSplit/>
          <w:trHeight w:val="188"/>
          <w:jc w:val="center"/>
        </w:trPr>
        <w:tc>
          <w:tcPr>
            <w:tcW w:w="9624" w:type="dxa"/>
            <w:gridSpan w:val="10"/>
            <w:tcBorders>
              <w:bottom w:val="single" w:sz="4" w:space="0" w:color="auto"/>
            </w:tcBorders>
            <w:vAlign w:val="center"/>
          </w:tcPr>
          <w:p w:rsidR="00162D29" w:rsidRPr="002D5189" w:rsidRDefault="00162D29" w:rsidP="00455786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="009C5FFC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109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455786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2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556CD4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455786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一</w:t>
            </w:r>
            <w:r w:rsidR="00556CD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次</w:t>
            </w:r>
            <w:r w:rsidR="00556CD4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段</w:t>
            </w:r>
            <w:r w:rsidR="00556CD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28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233AB9" w:rsidRPr="00A447CA" w:rsidTr="00DF5375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經濟</w:t>
            </w:r>
            <w:r>
              <w:rPr>
                <w:rFonts w:ascii="新細明體" w:eastAsia="新細明體" w:hAnsi="新細明體" w:cs="Times New Roman"/>
                <w:szCs w:val="20"/>
              </w:rPr>
              <w:t>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233AB9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233AB9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審題</w:t>
            </w:r>
            <w:r>
              <w:rPr>
                <w:rFonts w:ascii="新細明體" w:eastAsia="新細明體" w:hAnsi="新細明體" w:cs="Times New Roman"/>
                <w:szCs w:val="20"/>
              </w:rPr>
              <w:t>教師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9C5FFC" w:rsidP="00233AB9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曾珈甄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9C5FFC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資處</w:t>
            </w:r>
            <w:r>
              <w:rPr>
                <w:rFonts w:ascii="新細明體" w:eastAsia="新細明體" w:hAnsi="新細明體" w:cs="Times New Roman"/>
                <w:szCs w:val="20"/>
              </w:rPr>
              <w:t>科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</w:tcBorders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)1.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經濟學上所研究、分析的財貨是指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無償財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自由財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經濟財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公共財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)2.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下列敘述何者為需求</w:t>
      </w:r>
      <w:bookmarkStart w:id="0" w:name="_GoBack"/>
      <w:bookmarkEnd w:id="0"/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量增加？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薪水增加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10%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，所以多買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6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個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我喜歡，所以多買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6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個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價格下跌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10%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，所以多買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6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個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我家增加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3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口人，所多買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6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個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)3.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中央銀行宣布降低重貼現率，下面敘述何者為誤？</w:t>
      </w:r>
      <w:r w:rsidRPr="00455786">
        <w:rPr>
          <w:rFonts w:ascii="@·s²Ó©úÅé Western" w:eastAsia="新細明體" w:hAnsi="@·s²Ó©úÅé Western" w:cs="Times New Roman"/>
          <w:szCs w:val="24"/>
        </w:rPr>
        <w:t>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利率水準將下降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貨幣供給量將增加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信用將擴張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信用將緊縮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)4.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下列何者不是中央銀行執行貨幣政策的主要工具？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變更存款準備率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變更再貼現率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增加或減少財政支出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公開市場活動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)5.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下列那一項不是政府經營公營事業的目的？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增加財政收入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消除政府失靈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保障國家安全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協助政府政策推行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)6.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行政院於民國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100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年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6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月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日起正式施行「特種貨物及勞務稅條例」（俗稱奢侈稅），新台幣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300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萬元以上特定高額消費貨物，及兩年內轉手的非自用房屋和土地等須課稅，此為政府扮演何種角色？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法律與標準的制定者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經濟公平的維護者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經濟穩定的維持者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市場失靈現象的消除者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)7.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設一單位的資源投入，在甲國能生產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5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單位的汽車或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20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單位的電腦，在乙國能生產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3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單位的汽車或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15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單位的電腦；若甲乙兩國已充分就業，且依據比較利益法則，則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 xml:space="preserve">甲國生產汽車有比較利益　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甲國生產汽車和電腦都有比較利益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 xml:space="preserve">乙國生產汽車有比較利益　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乙國生產汽車和電腦都比甲國少，故兩國不會發生貿易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)8.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購買外國政府發行的公債或企業發行的股票、公司債等有價證券的投資方式，是屬於國際投資方式當中的哪一種型態？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直接投資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發行投資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間接投資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分配投資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)9.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如果外商公司在集中市場大量賣出股票，將新台幣轉換成美金匯出，對台灣會有什麼影響？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美金貶值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台幣貶值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台幣升值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股市大漲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)10.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下列何者又稱為「存貨循環」？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季節變動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大循環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小循環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建築循環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)11.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以乘數</w:t>
      </w:r>
      <w:r w:rsidRPr="00455786">
        <w:rPr>
          <w:rFonts w:ascii="@·s²Ó©úÅé Western" w:eastAsia="新細明體" w:hAnsi="@·s²Ó©úÅé Western" w:cs="新細明體"/>
          <w:kern w:val="0"/>
          <w:szCs w:val="24"/>
        </w:rPr>
        <w:t>–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加速原理說明經濟景氣循環的學者為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薩穆遜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傅利曼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拉佛爾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小克拉克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)12.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下列何者不包括在經濟成長的內涵中？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技術進步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消費水準提昇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資源質量增加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物價膨脹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widowControl/>
        <w:autoSpaceDE w:val="0"/>
        <w:autoSpaceDN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)13.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香醇咖啡店的咖啡售價為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55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元時，其需求量為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100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杯，若降價為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45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元時，其需求量為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150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杯，請問下列敘述何者正確？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br/>
        <w:t>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此咖啡的需求價格弧彈性為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2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kern w:val="0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此咖啡的供給價格彈性為富有彈性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kern w:val="0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為增加收入，香醇咖啡店不應採此降價策略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kern w:val="0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此咖啡的需求所得彈性為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0.5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455786" w:rsidRPr="00455786" w:rsidRDefault="00455786" w:rsidP="00455786">
      <w:pPr>
        <w:widowControl/>
        <w:autoSpaceDE w:val="0"/>
        <w:autoSpaceDN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>(    )14.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假設越南的名目利率為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10%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，通貨膨脹率為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12%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，則越南的實質利率最接近以下哪個數字？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br/>
        <w:t>(A)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22%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kern w:val="0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11%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kern w:val="0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2%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kern w:val="0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－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2%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455786" w:rsidRPr="00455786" w:rsidRDefault="00455786" w:rsidP="00455786">
      <w:pPr>
        <w:widowControl/>
        <w:autoSpaceDE w:val="0"/>
        <w:autoSpaceDN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>(    )15.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當經濟景氣過熱時，中央銀行可能採取下列何種措施？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降低法定存款準備率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kern w:val="0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放寬選擇性信用管制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kern w:val="0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在公開市場賣出債券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kern w:val="0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在外匯市場買進外匯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455786" w:rsidRPr="00455786" w:rsidRDefault="00455786" w:rsidP="00455786">
      <w:pPr>
        <w:widowControl/>
        <w:autoSpaceDE w:val="0"/>
        <w:autoSpaceDN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>(    )16.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替代效果之定義為：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所得變動導致最適數量之變動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kern w:val="0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在實質所得固定下價格變動導致數量之變動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kern w:val="0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相對價格固定下所得變動導致數量之變動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kern w:val="0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價格變動導致最適數量之變動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lastRenderedPageBreak/>
        <w:t>(    )17.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計算財貨價格變化對需求量影響的程度，稱為需求的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價格彈性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所得彈性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交叉彈性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供給彈性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widowControl/>
        <w:autoSpaceDE w:val="0"/>
        <w:autoSpaceDN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)18.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若長期平均成本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LAC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隨產量增加而遞增，此時稱為：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邊際報酬遞增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kern w:val="0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邊際報酬遞減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kern w:val="0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規模報酬遞增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kern w:val="0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規模報酬遞減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>(    )19.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如果供給量變動的百分比，小於價格變動的百分比時，其供給彈性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大於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小於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等於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趨近於∞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)20.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下列何者為影響特定財貨供給彈性的大小之因素？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所得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消費者偏好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生產要素的流動性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財貨的價格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)21.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政府對某財貨課稅，將使該財貨的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價格上漲，交易量增加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價格上漲，交易量減少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價格下跌，交易量增加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價格下跌，交易量減少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)22.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spacing w:val="7"/>
          <w:kern w:val="0"/>
          <w:szCs w:val="24"/>
        </w:rPr>
        <w:t>右圖的縱軸為價格（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</w:rPr>
        <w:t>P</w:t>
      </w:r>
      <w:r w:rsidRPr="00455786">
        <w:rPr>
          <w:rFonts w:ascii="@·s²Ó©úÅé Western" w:eastAsia="新細明體" w:hAnsi="@·s²Ó©úÅé Western" w:cs="新細明體" w:hint="eastAsia"/>
          <w:spacing w:val="7"/>
          <w:kern w:val="0"/>
          <w:szCs w:val="24"/>
        </w:rPr>
        <w:t>），橫軸為數量（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</w:rPr>
        <w:t>Q</w:t>
      </w:r>
      <w:r w:rsidRPr="00455786">
        <w:rPr>
          <w:rFonts w:ascii="@·s²Ó©úÅé Western" w:eastAsia="新細明體" w:hAnsi="@·s²Ó©úÅé Western" w:cs="新細明體" w:hint="eastAsia"/>
          <w:spacing w:val="7"/>
          <w:kern w:val="0"/>
          <w:szCs w:val="24"/>
        </w:rPr>
        <w:t>），圖中三條需求線（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</w:rPr>
        <w:t>D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  <w:vertAlign w:val="subscript"/>
        </w:rPr>
        <w:t>a</w:t>
      </w:r>
      <w:r w:rsidRPr="00455786">
        <w:rPr>
          <w:rFonts w:ascii="@·s²Ó©úÅé Western" w:eastAsia="新細明體" w:hAnsi="@·s²Ó©úÅé Western" w:cs="新細明體" w:hint="eastAsia"/>
          <w:spacing w:val="7"/>
          <w:kern w:val="0"/>
          <w:szCs w:val="24"/>
        </w:rPr>
        <w:t>、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</w:rPr>
        <w:t>D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  <w:vertAlign w:val="subscript"/>
        </w:rPr>
        <w:t>b</w:t>
      </w:r>
      <w:r w:rsidRPr="00455786">
        <w:rPr>
          <w:rFonts w:ascii="@·s²Ó©úÅé Western" w:eastAsia="新細明體" w:hAnsi="@·s²Ó©úÅé Western" w:cs="新細明體" w:hint="eastAsia"/>
          <w:spacing w:val="7"/>
          <w:kern w:val="0"/>
          <w:szCs w:val="24"/>
        </w:rPr>
        <w:t>、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</w:rPr>
        <w:t>D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  <w:vertAlign w:val="subscript"/>
        </w:rPr>
        <w:t>c</w:t>
      </w:r>
      <w:r w:rsidRPr="00455786">
        <w:rPr>
          <w:rFonts w:ascii="@·s²Ó©úÅé Western" w:eastAsia="新細明體" w:hAnsi="@·s²Ó©úÅé Western" w:cs="新細明體" w:hint="eastAsia"/>
          <w:spacing w:val="7"/>
          <w:kern w:val="0"/>
          <w:szCs w:val="24"/>
        </w:rPr>
        <w:t>；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</w:rPr>
        <w:t>D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  <w:vertAlign w:val="subscript"/>
        </w:rPr>
        <w:t>a</w:t>
      </w:r>
      <w:r w:rsidRPr="00455786">
        <w:rPr>
          <w:rFonts w:ascii="@·s²Ó©úÅé Western" w:eastAsia="新細明體" w:hAnsi="@·s²Ó©úÅé Western" w:cs="新細明體" w:hint="eastAsia"/>
          <w:spacing w:val="7"/>
          <w:kern w:val="0"/>
          <w:szCs w:val="24"/>
        </w:rPr>
        <w:t>與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</w:rPr>
        <w:t>D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  <w:vertAlign w:val="subscript"/>
        </w:rPr>
        <w:t>b</w:t>
      </w:r>
      <w:r w:rsidRPr="00455786">
        <w:rPr>
          <w:rFonts w:ascii="@·s²Ó©úÅé Western" w:eastAsia="新細明體" w:hAnsi="@·s²Ó©úÅé Western" w:cs="新細明體" w:hint="eastAsia"/>
          <w:spacing w:val="7"/>
          <w:kern w:val="0"/>
          <w:szCs w:val="24"/>
        </w:rPr>
        <w:t>平行）上的三點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</w:rPr>
        <w:t>A</w:t>
      </w:r>
      <w:r w:rsidRPr="00455786">
        <w:rPr>
          <w:rFonts w:ascii="@·s²Ó©úÅé Western" w:eastAsia="新細明體" w:hAnsi="@·s²Ó©úÅé Western" w:cs="新細明體" w:hint="eastAsia"/>
          <w:spacing w:val="7"/>
          <w:kern w:val="0"/>
          <w:szCs w:val="24"/>
        </w:rPr>
        <w:t>、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</w:rPr>
        <w:t>B</w:t>
      </w:r>
      <w:r w:rsidRPr="00455786">
        <w:rPr>
          <w:rFonts w:ascii="@·s²Ó©úÅé Western" w:eastAsia="新細明體" w:hAnsi="@·s²Ó©úÅé Western" w:cs="新細明體" w:hint="eastAsia"/>
          <w:spacing w:val="7"/>
          <w:kern w:val="0"/>
          <w:szCs w:val="24"/>
        </w:rPr>
        <w:t>、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</w:rPr>
        <w:t>C</w:t>
      </w:r>
      <w:r w:rsidRPr="00455786">
        <w:rPr>
          <w:rFonts w:ascii="@·s²Ó©úÅé Western" w:eastAsia="新細明體" w:hAnsi="@·s²Ó©úÅé Western" w:cs="新細明體" w:hint="eastAsia"/>
          <w:spacing w:val="7"/>
          <w:kern w:val="0"/>
          <w:szCs w:val="24"/>
        </w:rPr>
        <w:t>，其需求價格彈性之絕對值（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</w:rPr>
        <w:t>E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  <w:vertAlign w:val="subscript"/>
        </w:rPr>
        <w:t>a</w:t>
      </w:r>
      <w:r w:rsidRPr="00455786">
        <w:rPr>
          <w:rFonts w:ascii="@·s²Ó©úÅé Western" w:eastAsia="新細明體" w:hAnsi="@·s²Ó©úÅé Western" w:cs="新細明體" w:hint="eastAsia"/>
          <w:spacing w:val="7"/>
          <w:kern w:val="0"/>
          <w:szCs w:val="24"/>
        </w:rPr>
        <w:t>、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</w:rPr>
        <w:t>E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  <w:vertAlign w:val="subscript"/>
        </w:rPr>
        <w:t>b</w:t>
      </w:r>
      <w:r w:rsidRPr="00455786">
        <w:rPr>
          <w:rFonts w:ascii="@·s²Ó©úÅé Western" w:eastAsia="新細明體" w:hAnsi="@·s²Ó©úÅé Western" w:cs="新細明體" w:hint="eastAsia"/>
          <w:spacing w:val="7"/>
          <w:kern w:val="0"/>
          <w:szCs w:val="24"/>
        </w:rPr>
        <w:t>、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</w:rPr>
        <w:t>E</w:t>
      </w:r>
      <w:r w:rsidRPr="00455786">
        <w:rPr>
          <w:rFonts w:ascii="@·s²Ó©úÅé Western" w:eastAsia="新細明體" w:hAnsi="@·s²Ó©úÅé Western" w:cs="@·s²Ó©úÅé Western"/>
          <w:spacing w:val="7"/>
          <w:kern w:val="0"/>
          <w:szCs w:val="24"/>
          <w:vertAlign w:val="subscript"/>
        </w:rPr>
        <w:t>c</w:t>
      </w:r>
      <w:r w:rsidRPr="00455786">
        <w:rPr>
          <w:rFonts w:ascii="@·s²Ó©úÅé Western" w:eastAsia="新細明體" w:hAnsi="@·s²Ó©úÅé Western" w:cs="新細明體" w:hint="eastAsia"/>
          <w:spacing w:val="7"/>
          <w:kern w:val="0"/>
          <w:szCs w:val="24"/>
        </w:rPr>
        <w:t>）</w:t>
      </w:r>
      <w:r w:rsidRPr="00455786">
        <w:rPr>
          <w:rFonts w:ascii="@·s²Ó©úÅé Western" w:eastAsia="新細明體" w:hAnsi="@·s²Ó©úÅé Western" w:cs="新細明體" w:hint="eastAsia"/>
          <w:spacing w:val="4"/>
          <w:kern w:val="0"/>
          <w:szCs w:val="24"/>
        </w:rPr>
        <w:t>的大小順序為（圖中虛線與橫軸平行）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E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vertAlign w:val="subscript"/>
        </w:rPr>
        <w:t>A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＜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E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vertAlign w:val="subscript"/>
        </w:rPr>
        <w:t>B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＜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E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vertAlign w:val="subscript"/>
        </w:rPr>
        <w:t>C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E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vertAlign w:val="subscript"/>
        </w:rPr>
        <w:t>A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＞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E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vertAlign w:val="subscript"/>
        </w:rPr>
        <w:t>B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＞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E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vertAlign w:val="subscript"/>
        </w:rPr>
        <w:t>C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E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vertAlign w:val="subscript"/>
        </w:rPr>
        <w:t>A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＜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E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vertAlign w:val="subscript"/>
        </w:rPr>
        <w:t>B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＝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E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vertAlign w:val="subscript"/>
        </w:rPr>
        <w:t>C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E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vertAlign w:val="subscript"/>
        </w:rPr>
        <w:t>A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＞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E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vertAlign w:val="subscript"/>
        </w:rPr>
        <w:t>B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＝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E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vertAlign w:val="subscript"/>
        </w:rPr>
        <w:t>C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>
        <w:rPr>
          <w:rFonts w:ascii="@·s²Ó©úÅé Western" w:eastAsia="新細明體" w:hAnsi="@·s²Ó©úÅé Western" w:cs="Times New Roman"/>
          <w:noProof/>
          <w:spacing w:val="4"/>
          <w:kern w:val="0"/>
          <w:szCs w:val="24"/>
        </w:rPr>
        <w:drawing>
          <wp:inline distT="0" distB="0" distL="0" distR="0" wp14:anchorId="7851DF06" wp14:editId="77E5ECC0">
            <wp:extent cx="1619250" cy="151385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971" cy="152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)23.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下列有關慾望與需求的敘述，何者正確？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慾望是具體的，需求是抽象的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慾望是主觀的，需求是客觀的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慾望可以貨幣形態表示，需求無法以貨幣形態表示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以上皆非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 xml:space="preserve"> 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)24.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下列有關「鑽石與水的矛盾」之敘述，何者正確？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水之邊際效用較大，而鑽石之邊際效用較小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水之消費者剩餘較小，而鑽石之消費者剩餘較大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水之生產者剩餘較小，而鑽石之生產者剩餘較大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水之總效用較大，而鑽石之總效用較小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)25.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假設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x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財貨邊際效用對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y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財貨邊際效用之比為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2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（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MU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vertAlign w:val="subscript"/>
        </w:rPr>
        <w:t>x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 xml:space="preserve"> / MU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vertAlign w:val="subscript"/>
        </w:rPr>
        <w:t>y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 xml:space="preserve"> = 2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），若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y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財貨價格為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5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元，為使消費者達到最大滿足，則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x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財貨價格應為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2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元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5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元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10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元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2.5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元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)26.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在短期間發生邊際報酬遞減現象，是因為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所有生產因素均可變動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技術經常改變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有些生產因素固定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所有生產因素均固定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)27.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經濟成本為下列哪兩者之和？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外顯成本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 xml:space="preserve"> + 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內含成本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內含成本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 xml:space="preserve"> + 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社會成本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會計成本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 xml:space="preserve"> + 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私人成本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私人成本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 xml:space="preserve"> + 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外部成本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 xml:space="preserve"> 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)28.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短期內，隨產量增加而逐漸減少的成本為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變動成本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邊際成本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平均固定成本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平均變動成本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)29.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 w:eastAsia="ja-JP"/>
        </w:rPr>
        <w:t>長期平均成本曲線（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 w:eastAsia="ja-JP"/>
        </w:rPr>
        <w:t>LAC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 w:eastAsia="ja-JP"/>
        </w:rPr>
        <w:t>）是下列何者之包絡曲線（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 w:eastAsia="ja-JP"/>
        </w:rPr>
        <w:t>Envelope Curve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 w:eastAsia="ja-JP"/>
        </w:rPr>
        <w:t>）？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 w:eastAsia="ja-JP"/>
        </w:rPr>
        <w:t>短期總成本曲線（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 w:eastAsia="ja-JP"/>
        </w:rPr>
        <w:t>STC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 w:eastAsia="ja-JP"/>
        </w:rPr>
        <w:t xml:space="preserve">）　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 w:eastAsia="ja-JP"/>
        </w:rPr>
        <w:t>短期平均成本曲線（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 w:eastAsia="ja-JP"/>
        </w:rPr>
        <w:t>SAC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 w:eastAsia="ja-JP"/>
        </w:rPr>
        <w:t>）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 w:eastAsia="ja-JP"/>
        </w:rPr>
        <w:t>短期邊際成本曲線（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 w:eastAsia="ja-JP"/>
        </w:rPr>
        <w:t>SMC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 w:eastAsia="ja-JP"/>
        </w:rPr>
        <w:t>）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 w:eastAsia="ja-JP"/>
        </w:rPr>
        <w:t>以上皆非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)30.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有關長期平均成本線的陳述，何者正確？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會通過短期平均成本線的最低點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會通過短期邊際成本線的最低點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會隨著產量增加而減少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代表生產任意產量之最低成本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)31.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何種巿場型態實際上並不存在，僅農產品巿場接近其型態？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完全競爭巿場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獨占性競爭巿場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寡占巿場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獨占巿場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)32.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連續放長假期間，高速公路往往嚴重塞車，此現象以經濟問題視之，最合理的解釋為下列哪一項？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資源的稀少性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邊際效用遞增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高速公路是私有財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人的慾望有限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)33.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若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A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財貨之產業需求線為負斜率，而此產業之甲廠商，其平均收入線為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AR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，而邊際收入線為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MR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，且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AR = MR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，則其為哪一類型之廠商？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完全競爭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獨占性競爭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寡占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單一訂價的獨占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)34.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下列哪一項不是非價格競爭的例子？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廣告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售後服務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新產品開發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在邊際收益等於邊際成本狀況生產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)35.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完全競爭巿場中，廠商的短期歇業點在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產品價格等於平均成本最低點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產品價格等於平均變動成本最低點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產品價格等平均固定成本最低點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 xml:space="preserve"> 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產品價格等於邊際成本最低點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    )36.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完全競爭廠商的邊際利潤為負數時，廠商應採取什麼措施？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提高售價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減少生產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維持原產量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增加生產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)37.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在完全競爭巿場下個別生產者長期均衡點位於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長期邊際成本曲線的最低點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/>
        </w:rPr>
        <w:t xml:space="preserve"> 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長期平均成本曲線的最低點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長期平均成本曲線遞減階段中的某一點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長期平均成本曲線遞增階段中的某一點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)38.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完全競爭巿場之下，一個廠商使其生產效率達到最高的最適產量決定於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/>
        </w:rPr>
        <w:t>MC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＝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/>
        </w:rPr>
        <w:t>AC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/>
        </w:rPr>
        <w:t>MC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＞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/>
        </w:rPr>
        <w:t>AC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/>
        </w:rPr>
        <w:t>MC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＜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/>
        </w:rPr>
        <w:t>AC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不一定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)39.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若某一獨占者的需求曲線及邊際成本曲線分別為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P = 16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－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0.25Q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及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MC = 6 + 0.5Q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，則此獨占者利潤最大的價格為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@·s²Ó©úÅé Western" w:eastAsia="新細明體" w:hAnsi="@·s²Ó©úÅé Western" w:cs="Times New Roman"/>
          <w:szCs w:val="24"/>
        </w:rPr>
        <w:br/>
        <w:t>(A)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10.5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11.5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12.5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13.5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)40.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生產者人數眾多，每一生產者產品品質並不完全相同，生產因素的移動性很大，生產者的加入與退出甚為容易，具有這些性質的巿場為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完全競爭巿場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獨占巿場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寡占巿場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獨占性競爭巿場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)41.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在任何巿場結構下，追求最大利潤的廠商，具有下列哪些共同現象？</w:t>
      </w:r>
      <w:r w:rsidRPr="00455786">
        <w:rPr>
          <w:rFonts w:ascii="MS Mincho" w:eastAsia="MS Mincho" w:hAnsi="MS Mincho" w:cs="MS Mincho" w:hint="eastAsia"/>
          <w:kern w:val="0"/>
          <w:sz w:val="21"/>
          <w:szCs w:val="21"/>
        </w:rPr>
        <w:t>①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短期均衡時，僅有正常利潤</w:t>
      </w:r>
      <w:r w:rsidRPr="00455786">
        <w:rPr>
          <w:rFonts w:ascii="MS Mincho" w:eastAsia="MS Mincho" w:hAnsi="MS Mincho" w:cs="MS Mincho" w:hint="eastAsia"/>
          <w:kern w:val="0"/>
          <w:position w:val="2"/>
          <w:szCs w:val="24"/>
        </w:rPr>
        <w:t>②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長期均衡時，必定沒有虧損</w:t>
      </w:r>
      <w:r w:rsidRPr="00455786">
        <w:rPr>
          <w:rFonts w:ascii="MS Mincho" w:eastAsia="MS Mincho" w:hAnsi="MS Mincho" w:cs="MS Mincho" w:hint="eastAsia"/>
          <w:kern w:val="0"/>
          <w:position w:val="2"/>
          <w:szCs w:val="24"/>
        </w:rPr>
        <w:t>③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採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/>
        </w:rPr>
        <w:t>MR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（邊際收益）＝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/>
        </w:rPr>
        <w:t>MC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（邊際成本）的定價方式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MS Mincho" w:eastAsia="MS Mincho" w:hAnsi="MS Mincho" w:cs="MS Mincho" w:hint="eastAsia"/>
          <w:kern w:val="0"/>
          <w:szCs w:val="24"/>
        </w:rPr>
        <w:t>①②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MS Mincho" w:eastAsia="MS Mincho" w:hAnsi="MS Mincho" w:cs="MS Mincho" w:hint="eastAsia"/>
          <w:kern w:val="0"/>
          <w:szCs w:val="24"/>
        </w:rPr>
        <w:t>①③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MS Mincho" w:eastAsia="MS Mincho" w:hAnsi="MS Mincho" w:cs="MS Mincho" w:hint="eastAsia"/>
          <w:kern w:val="0"/>
          <w:szCs w:val="24"/>
        </w:rPr>
        <w:t>②③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MS Mincho" w:eastAsia="MS Mincho" w:hAnsi="MS Mincho" w:cs="MS Mincho" w:hint="eastAsia"/>
          <w:kern w:val="0"/>
          <w:szCs w:val="24"/>
        </w:rPr>
        <w:t>①②③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)42.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下列有關寡占市場的敘述，何者不正確？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廠商做決策時，相當關心同業的反應與作為，因此同業間彼此牽制、互相依賴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拗折的需求曲線用來說明寡占市場產品價格的僵固性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拗折的需求曲線是假設廠商在訂價時「跟跌不跟漲」所得到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寡占市場廠商因同業間彼此牽制，不會產生勾結行為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)43.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在生產可能曲線上，每增加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單位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X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的生產，所必須減少生產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Y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的數量逐漸增加，此種現象稱為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機會成本遞增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機會成本遞減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社會福利極大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邊際效用遞減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)44.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自由經濟制度的基礎是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生產制度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分配制度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交換制度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 xml:space="preserve">價格制度　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)45.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短期間使用固定資本財的報酬，稱為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利息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地租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準租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差額地租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)46.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火車站旁的私有空地，經承租人以每月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20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萬元的代價承租經營計時停車場，若市場年利率為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5%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，請問土地價格為多少萬元？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400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2,400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4,800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9,600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)47.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 w:eastAsia="ja-JP"/>
        </w:rPr>
        <w:t>依據凱因斯的流動性偏好理論（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 w:eastAsia="ja-JP"/>
        </w:rPr>
        <w:t>liquidity preference theory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 w:eastAsia="ja-JP"/>
        </w:rPr>
        <w:t>），貨幣需求主要決定於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 w:eastAsia="ja-JP"/>
        </w:rPr>
        <w:t>物價與所得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 w:eastAsia="ja-JP"/>
        </w:rPr>
        <w:t>所得與利率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 w:eastAsia="ja-JP"/>
        </w:rPr>
        <w:t>利率與工資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 w:eastAsia="ja-JP"/>
        </w:rPr>
        <w:t>工資與物價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)48.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若實質利率為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/>
        </w:rPr>
        <w:t>5%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，而通貨膨脹率為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/>
        </w:rPr>
        <w:t>2%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，則名目利率為多少？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2.5%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3%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5%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7%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)49.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下列何事件使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GNP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減少？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張先生原以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100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元購得股票一張，再以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55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元賣出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政府花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200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萬元補助受災農民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李太太辭去工作，做全職家庭主婦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建設公司今年蓋的房子，但景氣低迷，一戶也沒賣出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(A)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與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(B)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皆屬於當期交易，但不具生產性，本來就不計入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GNP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。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(C)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李太太擁有工作，對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GNP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有增加的作用；一旦辭去工作，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GNP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會變小。</w:t>
      </w:r>
      <w:r w:rsidRPr="00455786">
        <w:rPr>
          <w:rFonts w:ascii="@·s²Ó©úÅé Western" w:eastAsia="新細明體" w:hAnsi="@·s²Ó©úÅé Western" w:cs="Times New Roman"/>
          <w:kern w:val="0"/>
          <w:szCs w:val="24"/>
        </w:rPr>
        <w:br/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</w:rPr>
        <w:t>(D)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</w:rPr>
        <w:t>今年蓋好的房子，不論是否賣出，皆算入今年的產值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p w:rsidR="00455786" w:rsidRPr="00455786" w:rsidRDefault="00455786" w:rsidP="00455786">
      <w:pPr>
        <w:autoSpaceDE w:val="0"/>
        <w:autoSpaceDN w:val="0"/>
        <w:adjustRightInd w:val="0"/>
        <w:spacing w:line="360" w:lineRule="auto"/>
        <w:ind w:left="1080" w:hanging="1080"/>
        <w:rPr>
          <w:rFonts w:ascii="@·s²Ó©úÅé Western" w:eastAsia="新細明體" w:hAnsi="@·s²Ó©úÅé Western" w:cs="Times New Roman"/>
          <w:szCs w:val="24"/>
        </w:rPr>
      </w:pPr>
      <w:r w:rsidRPr="00455786">
        <w:rPr>
          <w:rFonts w:ascii="@·s²Ó©úÅé Western" w:eastAsia="新細明體" w:hAnsi="@·s²Ó©úÅé Western" w:cs="Times New Roman"/>
          <w:szCs w:val="24"/>
        </w:rPr>
        <w:t>(    )50.</w:t>
      </w:r>
      <w:r w:rsidRPr="00455786">
        <w:rPr>
          <w:rFonts w:ascii="@·s²Ó©úÅé Western" w:eastAsia="新細明體" w:hAnsi="@·s²Ó©úÅé Western" w:cs="Times New Roman"/>
          <w:szCs w:val="24"/>
        </w:rPr>
        <w:tab/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若政府為提高國民所得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/>
        </w:rPr>
        <w:t>100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億元，須增加公共支出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/>
        </w:rPr>
        <w:t>20</w:t>
      </w:r>
      <w:r w:rsidRPr="00455786">
        <w:rPr>
          <w:rFonts w:ascii="@·s²Ó©úÅé Western" w:eastAsia="新細明體" w:hAnsi="@·s²Ó©úÅé Western" w:cs="新細明體" w:hint="eastAsia"/>
          <w:kern w:val="0"/>
          <w:szCs w:val="24"/>
          <w:lang w:val="ja-JP"/>
        </w:rPr>
        <w:t>億元，則邊際消費傾向為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(A)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/>
        </w:rPr>
        <w:t>0.9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(B)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/>
        </w:rPr>
        <w:t>0.8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(C)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/>
        </w:rPr>
        <w:t>0.5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  <w:r w:rsidRPr="00455786">
        <w:rPr>
          <w:rFonts w:ascii="Arial" w:eastAsia="新細明體" w:hAnsi="Arial" w:cs="新細明體" w:hint="eastAsia"/>
          <w:szCs w:val="24"/>
        </w:rPr>
        <w:t xml:space="preserve">　</w:t>
      </w:r>
      <w:r w:rsidRPr="00455786">
        <w:rPr>
          <w:rFonts w:ascii="@·s²Ó©úÅé Western" w:eastAsia="新細明體" w:hAnsi="@·s²Ó©úÅé Western" w:cs="Times New Roman"/>
          <w:szCs w:val="24"/>
        </w:rPr>
        <w:t>(D)</w:t>
      </w:r>
      <w:r w:rsidRPr="00455786">
        <w:rPr>
          <w:rFonts w:ascii="@·s²Ó©úÅé Western" w:eastAsia="新細明體" w:hAnsi="@·s²Ó©úÅé Western" w:cs="@·s²Ó©úÅé Western"/>
          <w:kern w:val="0"/>
          <w:szCs w:val="24"/>
          <w:lang w:val="ja-JP"/>
        </w:rPr>
        <w:t>0.2</w:t>
      </w:r>
      <w:r w:rsidRPr="00455786">
        <w:rPr>
          <w:rFonts w:ascii="@·s²Ó©úÅé Western" w:eastAsia="新細明體" w:hAnsi="@·s²Ó©úÅé Western" w:cs="Times New Roman"/>
          <w:szCs w:val="24"/>
        </w:rPr>
        <w:t xml:space="preserve"> </w:t>
      </w:r>
    </w:p>
    <w:sectPr w:rsidR="00455786" w:rsidRPr="00455786" w:rsidSect="006D2D82">
      <w:footerReference w:type="default" r:id="rId8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5F5A" w:rsidRDefault="00CC5F5A" w:rsidP="00DC4D13">
      <w:r>
        <w:separator/>
      </w:r>
    </w:p>
  </w:endnote>
  <w:endnote w:type="continuationSeparator" w:id="0">
    <w:p w:rsidR="00CC5F5A" w:rsidRDefault="00CC5F5A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中明">
    <w:altName w:val="Arial Unicode MS"/>
    <w:charset w:val="88"/>
    <w:family w:val="modern"/>
    <w:pitch w:val="fixed"/>
    <w:sig w:usb0="00000001" w:usb1="38CF7C70" w:usb2="00000016" w:usb3="00000000" w:csb0="001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標楷體">
    <w:altName w:val="Arial Unicode MS"/>
    <w:charset w:val="88"/>
    <w:family w:val="script"/>
    <w:pitch w:val="fixed"/>
    <w:sig w:usb0="00000000" w:usb1="28091800" w:usb2="00000016" w:usb3="00000000" w:csb0="00100000" w:csb1="00000000"/>
  </w:font>
  <w:font w:name="ATC-*Q1-SP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20859029"/>
      <w:docPartObj>
        <w:docPartGallery w:val="Page Numbers (Bottom of Page)"/>
        <w:docPartUnique/>
      </w:docPartObj>
    </w:sdtPr>
    <w:sdtEndPr/>
    <w:sdtContent>
      <w:p w:rsidR="00900F15" w:rsidRDefault="00900F1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5F5A" w:rsidRPr="00CC5F5A">
          <w:rPr>
            <w:noProof/>
            <w:lang w:val="zh-TW"/>
          </w:rPr>
          <w:t>1</w:t>
        </w:r>
        <w:r>
          <w:fldChar w:fldCharType="end"/>
        </w:r>
      </w:p>
    </w:sdtContent>
  </w:sdt>
  <w:p w:rsidR="00900F15" w:rsidRDefault="00900F1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5F5A" w:rsidRDefault="00CC5F5A" w:rsidP="00DC4D13">
      <w:r>
        <w:separator/>
      </w:r>
    </w:p>
  </w:footnote>
  <w:footnote w:type="continuationSeparator" w:id="0">
    <w:p w:rsidR="00CC5F5A" w:rsidRDefault="00CC5F5A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A6D8E"/>
    <w:rsid w:val="000E424F"/>
    <w:rsid w:val="00126A3C"/>
    <w:rsid w:val="00162D29"/>
    <w:rsid w:val="001A4D10"/>
    <w:rsid w:val="001C7761"/>
    <w:rsid w:val="001E05C3"/>
    <w:rsid w:val="002048F3"/>
    <w:rsid w:val="002324F5"/>
    <w:rsid w:val="00233AB9"/>
    <w:rsid w:val="00244EE4"/>
    <w:rsid w:val="00277FB7"/>
    <w:rsid w:val="002D312E"/>
    <w:rsid w:val="002D5189"/>
    <w:rsid w:val="0031325B"/>
    <w:rsid w:val="0031673D"/>
    <w:rsid w:val="00326123"/>
    <w:rsid w:val="003763D4"/>
    <w:rsid w:val="003C799A"/>
    <w:rsid w:val="00455786"/>
    <w:rsid w:val="004645FA"/>
    <w:rsid w:val="0046782F"/>
    <w:rsid w:val="0048261B"/>
    <w:rsid w:val="004937AE"/>
    <w:rsid w:val="004B7DA9"/>
    <w:rsid w:val="004E36BA"/>
    <w:rsid w:val="00502603"/>
    <w:rsid w:val="00524443"/>
    <w:rsid w:val="005428BF"/>
    <w:rsid w:val="00556885"/>
    <w:rsid w:val="00556CD4"/>
    <w:rsid w:val="00595FD5"/>
    <w:rsid w:val="005B0AF5"/>
    <w:rsid w:val="005D065B"/>
    <w:rsid w:val="005E5B99"/>
    <w:rsid w:val="00637BF9"/>
    <w:rsid w:val="006553C0"/>
    <w:rsid w:val="006731BF"/>
    <w:rsid w:val="006C245F"/>
    <w:rsid w:val="006D2D82"/>
    <w:rsid w:val="006E1E28"/>
    <w:rsid w:val="00711F4B"/>
    <w:rsid w:val="00743A28"/>
    <w:rsid w:val="007A3C09"/>
    <w:rsid w:val="007B3B09"/>
    <w:rsid w:val="007E13D4"/>
    <w:rsid w:val="00842505"/>
    <w:rsid w:val="008679D5"/>
    <w:rsid w:val="008913D0"/>
    <w:rsid w:val="008E572C"/>
    <w:rsid w:val="009004D9"/>
    <w:rsid w:val="00900F15"/>
    <w:rsid w:val="00901FE6"/>
    <w:rsid w:val="009113B3"/>
    <w:rsid w:val="00915D4D"/>
    <w:rsid w:val="009C5FFC"/>
    <w:rsid w:val="009C6EC2"/>
    <w:rsid w:val="009D08BC"/>
    <w:rsid w:val="009E38EE"/>
    <w:rsid w:val="009E61CF"/>
    <w:rsid w:val="00A140E1"/>
    <w:rsid w:val="00AF17B1"/>
    <w:rsid w:val="00B335B2"/>
    <w:rsid w:val="00BC1EE5"/>
    <w:rsid w:val="00BD75F6"/>
    <w:rsid w:val="00C23E24"/>
    <w:rsid w:val="00C925C3"/>
    <w:rsid w:val="00CA1D75"/>
    <w:rsid w:val="00CC5809"/>
    <w:rsid w:val="00CC5F5A"/>
    <w:rsid w:val="00CE5A6A"/>
    <w:rsid w:val="00DA4A38"/>
    <w:rsid w:val="00DC4D13"/>
    <w:rsid w:val="00DF5375"/>
    <w:rsid w:val="00E47D4B"/>
    <w:rsid w:val="00E63B13"/>
    <w:rsid w:val="00E65A7C"/>
    <w:rsid w:val="00E70035"/>
    <w:rsid w:val="00EB5FBF"/>
    <w:rsid w:val="00F024C3"/>
    <w:rsid w:val="00F26122"/>
    <w:rsid w:val="00F5787B"/>
    <w:rsid w:val="00F70669"/>
    <w:rsid w:val="00F7477C"/>
    <w:rsid w:val="00FB6136"/>
    <w:rsid w:val="00FD4138"/>
    <w:rsid w:val="00FE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C789945-1BB5-498A-8612-4AED962E8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9"/>
    <w:qFormat/>
    <w:rsid w:val="009C5FFC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9C5FFC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9C5FFC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s1">
    <w:name w:val="Ans1"/>
    <w:rsid w:val="004645FA"/>
    <w:rPr>
      <w:color w:val="FF5000"/>
      <w:lang w:val="zh-TW"/>
    </w:rPr>
  </w:style>
  <w:style w:type="character" w:customStyle="1" w:styleId="Q1-SP">
    <w:name w:val="Q1-SP"/>
    <w:rsid w:val="004645FA"/>
    <w:rPr>
      <w:rFonts w:ascii="Arial" w:eastAsia="華康標楷體" w:hAnsi="Arial" w:cs="ATC-*Q1-SP" w:hint="default"/>
      <w:color w:val="66328F"/>
    </w:rPr>
  </w:style>
  <w:style w:type="character" w:customStyle="1" w:styleId="ad">
    <w:name w:val="底線"/>
    <w:rsid w:val="004645FA"/>
    <w:rPr>
      <w:u w:val="double"/>
    </w:rPr>
  </w:style>
  <w:style w:type="character" w:customStyle="1" w:styleId="Ans">
    <w:name w:val="Ans"/>
    <w:rsid w:val="00FD4138"/>
    <w:rPr>
      <w:color w:val="FF5000"/>
      <w:lang w:val="zh-TW"/>
    </w:rPr>
  </w:style>
  <w:style w:type="character" w:customStyle="1" w:styleId="sup">
    <w:name w:val="sup"/>
    <w:rsid w:val="00FD4138"/>
    <w:rPr>
      <w:vertAlign w:val="superscript"/>
    </w:rPr>
  </w:style>
  <w:style w:type="character" w:customStyle="1" w:styleId="box">
    <w:name w:val="box"/>
    <w:rsid w:val="00556885"/>
    <w:rPr>
      <w:rFonts w:ascii="Times New Roman" w:eastAsia="華康標楷體" w:hAnsi="Times New Roman" w:cs="Times New Roman" w:hint="default"/>
      <w:color w:val="auto"/>
    </w:rPr>
  </w:style>
  <w:style w:type="table" w:styleId="ae">
    <w:name w:val="Table Grid"/>
    <w:basedOn w:val="a1"/>
    <w:uiPriority w:val="59"/>
    <w:rsid w:val="005B0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9C5FFC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9C5FFC"/>
    <w:rPr>
      <w:rFonts w:ascii="Arial" w:eastAsia="新細明體" w:hAnsi="Arial" w:cs="Arial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9C5FFC"/>
    <w:rPr>
      <w:rFonts w:ascii="Arial" w:eastAsia="新細明體" w:hAnsi="Arial" w:cs="Arial"/>
      <w:b/>
      <w:bCs/>
      <w:sz w:val="36"/>
      <w:szCs w:val="36"/>
    </w:rPr>
  </w:style>
  <w:style w:type="numbering" w:customStyle="1" w:styleId="11">
    <w:name w:val="無清單1"/>
    <w:next w:val="a2"/>
    <w:uiPriority w:val="99"/>
    <w:semiHidden/>
    <w:unhideWhenUsed/>
    <w:rsid w:val="002D5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02C956-05E3-4658-A256-59AAE43BB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2021-03-23T00:26:00Z</dcterms:created>
  <dcterms:modified xsi:type="dcterms:W3CDTF">2021-03-23T00:26:00Z</dcterms:modified>
</cp:coreProperties>
</file>