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pPr w:leftFromText="180" w:rightFromText="180" w:vertAnchor="text" w:horzAnchor="margin" w:tblpY="101"/>
        <w:tblW w:w="12753" w:type="dxa"/>
        <w:tblLook w:val="04A0" w:firstRow="1" w:lastRow="0" w:firstColumn="1" w:lastColumn="0" w:noHBand="0" w:noVBand="1"/>
      </w:tblPr>
      <w:tblGrid>
        <w:gridCol w:w="846"/>
        <w:gridCol w:w="1417"/>
        <w:gridCol w:w="851"/>
        <w:gridCol w:w="1116"/>
        <w:gridCol w:w="759"/>
        <w:gridCol w:w="942"/>
        <w:gridCol w:w="456"/>
        <w:gridCol w:w="456"/>
        <w:gridCol w:w="505"/>
        <w:gridCol w:w="993"/>
        <w:gridCol w:w="8"/>
        <w:gridCol w:w="860"/>
        <w:gridCol w:w="709"/>
        <w:gridCol w:w="850"/>
        <w:gridCol w:w="567"/>
        <w:gridCol w:w="1418"/>
      </w:tblGrid>
      <w:tr w:rsidR="005542F0" w:rsidRPr="00B63397" w14:paraId="182E81A4" w14:textId="77777777" w:rsidTr="00630B04">
        <w:tc>
          <w:tcPr>
            <w:tcW w:w="8349" w:type="dxa"/>
            <w:gridSpan w:val="11"/>
            <w:vAlign w:val="center"/>
          </w:tcPr>
          <w:p w14:paraId="38B14267" w14:textId="77777777" w:rsidR="005542F0" w:rsidRPr="00B63397" w:rsidRDefault="005542F0" w:rsidP="005542F0">
            <w:pPr>
              <w:jc w:val="center"/>
              <w:rPr>
                <w:w w:val="150"/>
                <w:lang w:val="uk-UA"/>
              </w:rPr>
            </w:pPr>
            <w:r w:rsidRPr="005542F0">
              <w:rPr>
                <w:rFonts w:eastAsiaTheme="minorEastAsia"/>
                <w:spacing w:val="109"/>
                <w:fitText w:val="6720" w:id="-1533824256"/>
                <w:lang w:val="uk-UA"/>
              </w:rPr>
              <w:t>市立新北高工110學年度第</w:t>
            </w:r>
            <w:r w:rsidRPr="005542F0">
              <w:rPr>
                <w:rFonts w:eastAsiaTheme="minorEastAsia" w:hint="eastAsia"/>
                <w:spacing w:val="109"/>
                <w:fitText w:val="6720" w:id="-1533824256"/>
                <w:lang w:val="uk-UA"/>
              </w:rPr>
              <w:t>2</w:t>
            </w:r>
            <w:r w:rsidRPr="005542F0">
              <w:rPr>
                <w:rFonts w:eastAsiaTheme="minorEastAsia"/>
                <w:spacing w:val="109"/>
                <w:fitText w:val="6720" w:id="-1533824256"/>
                <w:lang w:val="uk-UA"/>
              </w:rPr>
              <w:t>學期段考試</w:t>
            </w:r>
            <w:r w:rsidRPr="005542F0">
              <w:rPr>
                <w:rFonts w:eastAsiaTheme="minorEastAsia"/>
                <w:spacing w:val="10"/>
                <w:fitText w:val="6720" w:id="-1533824256"/>
                <w:lang w:val="uk-UA"/>
              </w:rPr>
              <w:t>題</w:t>
            </w:r>
          </w:p>
        </w:tc>
        <w:tc>
          <w:tcPr>
            <w:tcW w:w="860" w:type="dxa"/>
            <w:tcBorders>
              <w:right w:val="single" w:sz="4" w:space="0" w:color="auto"/>
            </w:tcBorders>
            <w:vAlign w:val="center"/>
          </w:tcPr>
          <w:p w14:paraId="034D4330" w14:textId="77777777" w:rsidR="005542F0" w:rsidRPr="00B63397" w:rsidRDefault="005542F0" w:rsidP="00630B04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172CC7" w14:textId="77777777" w:rsidR="005542F0" w:rsidRPr="00B63397" w:rsidRDefault="005542F0" w:rsidP="00630B04">
            <w:pPr>
              <w:jc w:val="center"/>
              <w:rPr>
                <w:lang w:val="uk-UA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1DABCF" w14:textId="77777777" w:rsidR="005542F0" w:rsidRPr="00B63397" w:rsidRDefault="005542F0" w:rsidP="00630B04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/>
              </w:rPr>
              <w:t>座號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754E2B0" w14:textId="77777777" w:rsidR="005542F0" w:rsidRPr="00B63397" w:rsidRDefault="005542F0" w:rsidP="00630B04">
            <w:pPr>
              <w:jc w:val="center"/>
              <w:rPr>
                <w:lang w:val="uk-UA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1E896683" w14:textId="77777777" w:rsidR="005542F0" w:rsidRPr="00B63397" w:rsidRDefault="005542F0" w:rsidP="00630B04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/>
              </w:rPr>
              <w:t>電腦卡作答</w:t>
            </w:r>
          </w:p>
        </w:tc>
      </w:tr>
      <w:tr w:rsidR="005542F0" w:rsidRPr="00B63397" w14:paraId="4D59C203" w14:textId="77777777" w:rsidTr="00630B04">
        <w:tc>
          <w:tcPr>
            <w:tcW w:w="846" w:type="dxa"/>
            <w:vAlign w:val="center"/>
          </w:tcPr>
          <w:p w14:paraId="4B302015" w14:textId="77777777" w:rsidR="005542F0" w:rsidRPr="00B63397" w:rsidRDefault="005542F0" w:rsidP="00630B04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/>
              </w:rPr>
              <w:t>科目</w:t>
            </w:r>
          </w:p>
        </w:tc>
        <w:tc>
          <w:tcPr>
            <w:tcW w:w="1417" w:type="dxa"/>
            <w:vAlign w:val="center"/>
          </w:tcPr>
          <w:p w14:paraId="104BA59E" w14:textId="77777777" w:rsidR="005542F0" w:rsidRPr="005542F0" w:rsidRDefault="005542F0" w:rsidP="005542F0">
            <w:pPr>
              <w:jc w:val="center"/>
              <w:rPr>
                <w:rFonts w:eastAsiaTheme="minorEastAsia"/>
                <w:lang w:val="uk-UA"/>
              </w:rPr>
            </w:pPr>
            <w:r>
              <w:rPr>
                <w:rFonts w:eastAsiaTheme="minorEastAsia"/>
                <w:lang w:val="uk-UA"/>
              </w:rPr>
              <w:t>經濟</w:t>
            </w:r>
            <w:r>
              <w:rPr>
                <w:rFonts w:eastAsiaTheme="minorEastAsia" w:hint="eastAsia"/>
                <w:lang w:val="uk-UA"/>
              </w:rPr>
              <w:t>學</w:t>
            </w:r>
          </w:p>
        </w:tc>
        <w:tc>
          <w:tcPr>
            <w:tcW w:w="851" w:type="dxa"/>
            <w:vAlign w:val="center"/>
          </w:tcPr>
          <w:p w14:paraId="411D45A9" w14:textId="77777777" w:rsidR="005542F0" w:rsidRPr="00B63397" w:rsidRDefault="005542F0" w:rsidP="00630B04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/>
              </w:rPr>
              <w:t>命題教師</w:t>
            </w:r>
          </w:p>
        </w:tc>
        <w:tc>
          <w:tcPr>
            <w:tcW w:w="1116" w:type="dxa"/>
            <w:tcBorders>
              <w:right w:val="single" w:sz="4" w:space="0" w:color="auto"/>
            </w:tcBorders>
            <w:vAlign w:val="center"/>
          </w:tcPr>
          <w:p w14:paraId="1B064521" w14:textId="77777777" w:rsidR="005542F0" w:rsidRPr="00B63397" w:rsidRDefault="005542F0" w:rsidP="00630B04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/>
              </w:rPr>
              <w:t>曾</w:t>
            </w:r>
            <w:proofErr w:type="gramStart"/>
            <w:r w:rsidRPr="00B63397">
              <w:rPr>
                <w:rFonts w:eastAsiaTheme="minorEastAsia"/>
                <w:lang w:val="uk-UA"/>
              </w:rPr>
              <w:t>珈甄</w:t>
            </w:r>
            <w:proofErr w:type="gramEnd"/>
          </w:p>
        </w:tc>
        <w:tc>
          <w:tcPr>
            <w:tcW w:w="759" w:type="dxa"/>
            <w:tcBorders>
              <w:left w:val="single" w:sz="4" w:space="0" w:color="auto"/>
            </w:tcBorders>
            <w:vAlign w:val="center"/>
          </w:tcPr>
          <w:p w14:paraId="5A96C992" w14:textId="77777777" w:rsidR="005542F0" w:rsidRPr="00B63397" w:rsidRDefault="005542F0" w:rsidP="00630B04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/>
              </w:rPr>
              <w:t>審題教師</w:t>
            </w:r>
          </w:p>
        </w:tc>
        <w:tc>
          <w:tcPr>
            <w:tcW w:w="942" w:type="dxa"/>
            <w:vAlign w:val="center"/>
          </w:tcPr>
          <w:p w14:paraId="65BFC3EC" w14:textId="77777777" w:rsidR="005542F0" w:rsidRPr="00B63397" w:rsidRDefault="005542F0" w:rsidP="00630B04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/>
              </w:rPr>
              <w:t>廖淑珍</w:t>
            </w:r>
          </w:p>
        </w:tc>
        <w:tc>
          <w:tcPr>
            <w:tcW w:w="456" w:type="dxa"/>
            <w:vAlign w:val="center"/>
          </w:tcPr>
          <w:p w14:paraId="08CC256E" w14:textId="77777777" w:rsidR="005542F0" w:rsidRPr="00B63397" w:rsidRDefault="005542F0" w:rsidP="00630B04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/>
              </w:rPr>
              <w:t>年級</w:t>
            </w:r>
          </w:p>
        </w:tc>
        <w:tc>
          <w:tcPr>
            <w:tcW w:w="456" w:type="dxa"/>
            <w:vAlign w:val="center"/>
          </w:tcPr>
          <w:p w14:paraId="1AC4A7A2" w14:textId="77777777" w:rsidR="005542F0" w:rsidRPr="00B63397" w:rsidRDefault="005542F0" w:rsidP="00630B04">
            <w:pPr>
              <w:jc w:val="center"/>
              <w:rPr>
                <w:lang w:val="uk-UA"/>
              </w:rPr>
            </w:pPr>
            <w:r>
              <w:rPr>
                <w:rFonts w:eastAsiaTheme="minorEastAsia" w:hint="eastAsia"/>
                <w:lang w:val="uk-UA"/>
              </w:rPr>
              <w:t>二</w:t>
            </w:r>
          </w:p>
        </w:tc>
        <w:tc>
          <w:tcPr>
            <w:tcW w:w="505" w:type="dxa"/>
            <w:vAlign w:val="center"/>
          </w:tcPr>
          <w:p w14:paraId="055FADF3" w14:textId="77777777" w:rsidR="005542F0" w:rsidRPr="00B63397" w:rsidRDefault="005542F0" w:rsidP="00630B04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/>
              </w:rPr>
              <w:t>科別</w:t>
            </w:r>
          </w:p>
        </w:tc>
        <w:tc>
          <w:tcPr>
            <w:tcW w:w="993" w:type="dxa"/>
            <w:vAlign w:val="center"/>
          </w:tcPr>
          <w:p w14:paraId="42A0EA51" w14:textId="77777777" w:rsidR="005542F0" w:rsidRPr="00B63397" w:rsidRDefault="005542F0" w:rsidP="00630B04">
            <w:pPr>
              <w:jc w:val="center"/>
              <w:rPr>
                <w:lang w:val="uk-UA"/>
              </w:rPr>
            </w:pPr>
            <w:proofErr w:type="gramStart"/>
            <w:r w:rsidRPr="00B63397">
              <w:rPr>
                <w:rFonts w:eastAsiaTheme="minorEastAsia"/>
                <w:lang w:val="uk-UA"/>
              </w:rPr>
              <w:t>資處科</w:t>
            </w:r>
            <w:proofErr w:type="gramEnd"/>
          </w:p>
        </w:tc>
        <w:tc>
          <w:tcPr>
            <w:tcW w:w="868" w:type="dxa"/>
            <w:gridSpan w:val="2"/>
            <w:tcBorders>
              <w:right w:val="single" w:sz="4" w:space="0" w:color="auto"/>
            </w:tcBorders>
            <w:vAlign w:val="center"/>
          </w:tcPr>
          <w:p w14:paraId="3249F141" w14:textId="77777777" w:rsidR="005542F0" w:rsidRPr="00B63397" w:rsidRDefault="005542F0" w:rsidP="00630B04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/>
              </w:rPr>
              <w:t>姓名</w:t>
            </w:r>
          </w:p>
        </w:tc>
        <w:tc>
          <w:tcPr>
            <w:tcW w:w="2126" w:type="dxa"/>
            <w:gridSpan w:val="3"/>
            <w:tcBorders>
              <w:left w:val="single" w:sz="4" w:space="0" w:color="auto"/>
            </w:tcBorders>
            <w:vAlign w:val="center"/>
          </w:tcPr>
          <w:p w14:paraId="59B91D8F" w14:textId="77777777" w:rsidR="005542F0" w:rsidRPr="00B63397" w:rsidRDefault="005542F0" w:rsidP="00630B04">
            <w:pPr>
              <w:jc w:val="center"/>
              <w:rPr>
                <w:lang w:val="uk-UA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2DAFD3B6" w14:textId="77777777" w:rsidR="005542F0" w:rsidRPr="00B63397" w:rsidRDefault="005542F0" w:rsidP="00630B04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/>
              </w:rPr>
              <w:t>是</w:t>
            </w:r>
          </w:p>
        </w:tc>
      </w:tr>
    </w:tbl>
    <w:p w14:paraId="0774BF37" w14:textId="77777777" w:rsidR="005542F0" w:rsidRDefault="005542F0">
      <w:pPr>
        <w:pStyle w:val="style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</w:p>
    <w:p w14:paraId="24D85775" w14:textId="77777777" w:rsidR="005542F0" w:rsidRDefault="005542F0">
      <w:pPr>
        <w:pStyle w:val="style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</w:p>
    <w:p w14:paraId="1A9FD901" w14:textId="77777777" w:rsidR="005542F0" w:rsidRDefault="005542F0">
      <w:pPr>
        <w:pStyle w:val="style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</w:p>
    <w:p w14:paraId="0154C95E" w14:textId="77777777" w:rsidR="00D56627" w:rsidRPr="005542F0" w:rsidRDefault="005542F0">
      <w:pPr>
        <w:pStyle w:val="style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※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選擇題</w:t>
      </w:r>
      <w:r w:rsidR="00A77973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</w:t>
      </w:r>
      <w:r w:rsidR="00A77973" w:rsidRPr="005542F0">
        <w:rPr>
          <w:rFonts w:asciiTheme="minorEastAsia" w:eastAsiaTheme="minorEastAsia" w:hAnsiTheme="minorEastAsia" w:cs="Times New Roman"/>
          <w:kern w:val="2"/>
          <w:sz w:val="27"/>
          <w:szCs w:val="27"/>
        </w:rPr>
        <w:t>40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題 共</w:t>
      </w:r>
      <w:r w:rsidR="00A77973" w:rsidRPr="005542F0">
        <w:rPr>
          <w:rFonts w:asciiTheme="minorEastAsia" w:eastAsiaTheme="minorEastAsia" w:hAnsiTheme="minorEastAsia" w:cs="Times New Roman"/>
          <w:kern w:val="2"/>
          <w:sz w:val="27"/>
          <w:szCs w:val="27"/>
        </w:rPr>
        <w:t>100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分</w:t>
      </w:r>
    </w:p>
    <w:p w14:paraId="2CBDD1FF" w14:textId="77777777" w:rsidR="00D56627" w:rsidRPr="005542F0" w:rsidRDefault="00BF654D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下列有關古典學派與凱因斯學派對均衡所得的敘述，何者正確？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 xml:space="preserve">(A)古典學派認為充分就業是常態，均衡所得由需求面決定  (B)古典學派認為失業是常態，均衡所得由供給面決定  (C)凱因斯學派認為失業是常態，均衡所得由需求面決定  (D)凱因斯學派認為充分就業是常態，均衡所得由供給面決定  </w:t>
      </w:r>
    </w:p>
    <w:p w14:paraId="092DFBFB" w14:textId="77777777" w:rsidR="00D56627" w:rsidRPr="005542F0" w:rsidRDefault="00BF654D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在未達充分就業下，社會大眾增加儲蓄，將使社會的有效需求(A)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減少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(B)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增加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(C)不變  (D)增減不一定  </w:t>
      </w:r>
    </w:p>
    <w:p w14:paraId="44289115" w14:textId="77777777" w:rsidR="00D56627" w:rsidRPr="005542F0" w:rsidRDefault="00BF654D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有「總體經濟學之父」尊稱者為(A)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凱因斯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亞當斯密  (B)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亞當斯密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(C)馬歇爾  (D)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薩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穆遜  </w:t>
      </w:r>
    </w:p>
    <w:p w14:paraId="635299FF" w14:textId="77777777" w:rsidR="00D56627" w:rsidRPr="005542F0" w:rsidRDefault="00BF654D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在一般情況下，隨著可支配所得的減少，平均儲蓄傾向（APS）會(A)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遞減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(B)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遞增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(C)固定  (D)增減不一定  </w:t>
      </w:r>
    </w:p>
    <w:p w14:paraId="72EAB92E" w14:textId="77777777" w:rsidR="00D56627" w:rsidRPr="005542F0" w:rsidRDefault="00BF654D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根據凱因斯的基本消費心理法則，在正常情況下，邊際消費傾向(A)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介於0與1之間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(B)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小於0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(C)等於1  (D)大於1  </w:t>
      </w:r>
    </w:p>
    <w:p w14:paraId="31CF08FB" w14:textId="77777777" w:rsidR="00D56627" w:rsidRPr="005542F0" w:rsidRDefault="00BF654D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MPC = 0，表示(A)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所得的增量全部用於儲蓄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(B)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所得的增量全部用於消費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(C)負儲蓄  (D)收支平衡  </w:t>
      </w:r>
    </w:p>
    <w:p w14:paraId="6E9854FB" w14:textId="77777777" w:rsidR="00D56627" w:rsidRPr="005542F0" w:rsidRDefault="00BF654D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消費函數C = a + </w:t>
      </w:r>
      <w:proofErr w:type="spell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bY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  <w:vertAlign w:val="subscript"/>
        </w:rPr>
        <w:t>d</w:t>
      </w:r>
      <w:proofErr w:type="spell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，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式中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「a」代表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>(A)當Y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  <w:vertAlign w:val="subscript"/>
        </w:rPr>
        <w:t>d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= 0時的消費數額  (B)當C = 0時的所得水準  (C)邊際消費傾向  (D)平均消費傾向  </w:t>
      </w:r>
    </w:p>
    <w:p w14:paraId="65010C2E" w14:textId="77777777" w:rsidR="00D56627" w:rsidRPr="005542F0" w:rsidRDefault="00BF654D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已知消費函數為C = 100 + 0.75Y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  <w:vertAlign w:val="subscript"/>
        </w:rPr>
        <w:t>d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，則下列敘述何者正確？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>(A)收支平衡時，Y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  <w:vertAlign w:val="subscript"/>
        </w:rPr>
        <w:t>d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= 400  (B)APS = 0.25  (C)邊際消費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傾向隨可支配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所得的增加而遞減  (D)APC = 0.75  </w:t>
      </w:r>
    </w:p>
    <w:p w14:paraId="743D293C" w14:textId="77777777" w:rsidR="00D56627" w:rsidRPr="005542F0" w:rsidRDefault="00BF654D">
      <w:pPr>
        <w:pStyle w:val="question"/>
        <w:numPr>
          <w:ilvl w:val="0"/>
          <w:numId w:val="2"/>
        </w:numPr>
        <w:tabs>
          <w:tab w:val="num" w:pos="260"/>
        </w:tabs>
        <w:ind w:left="760" w:hanging="76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下列敘述何者正確？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 xml:space="preserve">(A)政府提高稅率，將使消費水準降低  (B)所得分配愈平均，則消費水準趨於降低  (C)流動性資產愈多，則消費水準愈低  (D)大眾預期物價水準將上漲，則消費水準就會降低  </w:t>
      </w:r>
    </w:p>
    <w:p w14:paraId="6963CB8B" w14:textId="77777777" w:rsidR="00D56627" w:rsidRPr="005542F0" w:rsidRDefault="00BF654D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設儲蓄函數為S = -100 + 0.2Y，則收支平衡的均衡所得為(A)200  (B)300  (C)400  (D)500  </w:t>
      </w:r>
    </w:p>
    <w:p w14:paraId="3484914D" w14:textId="77777777" w:rsidR="00D56627" w:rsidRPr="005542F0" w:rsidRDefault="00A77973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="00BF654D"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在簡單凱因斯模型中，邊際消費傾向與邊際儲蓄傾向兩者之和為(A)0  (B)-1  (C)1  (D)2  </w:t>
      </w:r>
    </w:p>
    <w:p w14:paraId="5CC70FD6" w14:textId="77777777" w:rsidR="00D56627" w:rsidRPr="005542F0" w:rsidRDefault="00A77973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="00BF654D"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MEI曲線一般為(A)正斜率  (B)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垂直線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(C)水平線  (D)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負斜率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</w:p>
    <w:p w14:paraId="5BB76EEA" w14:textId="77777777" w:rsidR="00D56627" w:rsidRPr="005542F0" w:rsidRDefault="00BF654D" w:rsidP="00A77973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將資本財的未來預期毛收益，還原為資本財購置成本的一種貼現率，稱為投資的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>(A)利率  (B)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所得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(C)利息  (D)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邊際效率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</w:p>
    <w:p w14:paraId="2726EF9C" w14:textId="77777777" w:rsidR="00E11EE6" w:rsidRDefault="00BF654D" w:rsidP="00E11EE6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城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城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想要投資餐飲食品相關事業，但苦無方法判斷如何進行投資。經過與家人討論並進行評估後，他決定採用凱因斯的投資邊際效率理論，在投資餐飲業「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香蟹海鮮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餐廳」及食品業「乾拌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麵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」兩個方案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之間，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進行投資抉擇。根據凱因斯的投資邊際效率理論，城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城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在投資前應評估下列哪兩者之間的關係？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 xml:space="preserve">(A)預期報酬率與投資邊際效率　  (B)市場利率與儲蓄率  (C)預期報酬率與物價上漲率　  (D)投資邊際效率與市場利率  </w:t>
      </w:r>
    </w:p>
    <w:p w14:paraId="1BC2FD07" w14:textId="77777777" w:rsidR="00E11EE6" w:rsidRDefault="00E11EE6" w:rsidP="00E11EE6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0BF29A" wp14:editId="0266D5B1">
            <wp:simplePos x="0" y="0"/>
            <wp:positionH relativeFrom="column">
              <wp:posOffset>607695</wp:posOffset>
            </wp:positionH>
            <wp:positionV relativeFrom="paragraph">
              <wp:posOffset>36195</wp:posOffset>
            </wp:positionV>
            <wp:extent cx="5433060" cy="1638300"/>
            <wp:effectExtent l="0" t="0" r="0" b="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654D" w:rsidRPr="00E11EE6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="00BF654D" w:rsidRPr="00E11EE6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="00BF654D" w:rsidRPr="00E11EE6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</w:t>
      </w:r>
    </w:p>
    <w:p w14:paraId="2271C8B7" w14:textId="77777777" w:rsidR="00E11EE6" w:rsidRDefault="00E11EE6" w:rsidP="00E11EE6">
      <w:pPr>
        <w:pStyle w:val="question"/>
        <w:ind w:left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</w:p>
    <w:p w14:paraId="022DDFCA" w14:textId="77777777" w:rsidR="00E11EE6" w:rsidRDefault="00E11EE6" w:rsidP="00E11EE6">
      <w:pPr>
        <w:pStyle w:val="question"/>
        <w:ind w:left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</w:p>
    <w:p w14:paraId="34EEEA8D" w14:textId="77777777" w:rsidR="00E11EE6" w:rsidRDefault="00E11EE6" w:rsidP="00E11EE6">
      <w:pPr>
        <w:pStyle w:val="question"/>
        <w:ind w:left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</w:p>
    <w:p w14:paraId="4CA8F678" w14:textId="77777777" w:rsidR="00E11EE6" w:rsidRDefault="00E11EE6" w:rsidP="00E11EE6">
      <w:pPr>
        <w:pStyle w:val="question"/>
        <w:ind w:left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</w:p>
    <w:p w14:paraId="090442DF" w14:textId="77777777" w:rsidR="00D56627" w:rsidRPr="00E11EE6" w:rsidRDefault="00E11EE6" w:rsidP="00E11EE6">
      <w:pPr>
        <w:pStyle w:val="question"/>
        <w:ind w:left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>
        <w:br/>
      </w:r>
      <w:r w:rsidRPr="00E11EE6">
        <w:rPr>
          <w:rFonts w:asciiTheme="minorEastAsia" w:eastAsiaTheme="minorEastAsia" w:hAnsiTheme="minorEastAsia" w:cs="Times New Roman"/>
          <w:kern w:val="2"/>
          <w:sz w:val="27"/>
          <w:szCs w:val="27"/>
        </w:rPr>
        <w:t>政府強制標示豬肉原產地的主要目的為</w:t>
      </w:r>
      <w:r w:rsidRPr="00E11EE6">
        <w:rPr>
          <w:rFonts w:asciiTheme="minorEastAsia" w:eastAsiaTheme="minorEastAsia" w:hAnsiTheme="minorEastAsia" w:cs="Times New Roman"/>
          <w:kern w:val="2"/>
          <w:sz w:val="27"/>
          <w:szCs w:val="27"/>
        </w:rPr>
        <w:br/>
        <w:t>(A) 建立美國</w:t>
      </w:r>
      <w:proofErr w:type="gramStart"/>
      <w:r w:rsidRPr="00E11EE6">
        <w:rPr>
          <w:rFonts w:asciiTheme="minorEastAsia" w:eastAsiaTheme="minorEastAsia" w:hAnsiTheme="minorEastAsia" w:cs="Times New Roman"/>
          <w:kern w:val="2"/>
          <w:sz w:val="27"/>
          <w:szCs w:val="27"/>
        </w:rPr>
        <w:t>萊</w:t>
      </w:r>
      <w:proofErr w:type="gramEnd"/>
      <w:r w:rsidRPr="00E11EE6">
        <w:rPr>
          <w:rFonts w:asciiTheme="minorEastAsia" w:eastAsiaTheme="minorEastAsia" w:hAnsiTheme="minorEastAsia" w:cs="Times New Roman"/>
          <w:kern w:val="2"/>
          <w:sz w:val="27"/>
          <w:szCs w:val="27"/>
        </w:rPr>
        <w:t xml:space="preserve">豬的知名度　(B) 減少「萊克多巴胺」使用所產生的外部性　(C) 減少國內豬肉市場逆選擇的問題　(D) 減少國內豬肉市場道德危險的問題　</w:t>
      </w:r>
    </w:p>
    <w:p w14:paraId="0386205C" w14:textId="77777777" w:rsidR="00E11EE6" w:rsidRDefault="00BF654D" w:rsidP="00E11EE6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假設某一國家沒有政府與貿易部門，而該國的消費函數為C＝200＋0.75Y（Y表示所得），投資為I＝50；則：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>(A)均衡所得水準等於1,000  (B)邊際儲蓄傾向等於0.75  (C)投資乘數等於5  (D)儲蓄函數為S =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–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200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–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0.75Y  </w:t>
      </w:r>
    </w:p>
    <w:p w14:paraId="4B941781" w14:textId="77777777" w:rsidR="00D56627" w:rsidRPr="00E11EE6" w:rsidRDefault="00BF654D" w:rsidP="00E11EE6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E11EE6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lastRenderedPageBreak/>
        <w:t xml:space="preserve">( </w:t>
      </w:r>
      <w:r w:rsidRPr="00E11EE6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E11EE6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</w:t>
      </w:r>
      <w:r w:rsidR="00E11EE6" w:rsidRPr="00E11EE6">
        <w:rPr>
          <w:rFonts w:asciiTheme="minorEastAsia" w:eastAsiaTheme="minorEastAsia" w:hAnsiTheme="minorEastAsia" w:cs="Times New Roman"/>
          <w:kern w:val="2"/>
          <w:sz w:val="27"/>
          <w:szCs w:val="27"/>
        </w:rPr>
        <w:t>假定其他因素不變，當所得水準為800 億元，總合需求大於總合供給，則當總合供給等於總合需求時的均衡所得水準</w:t>
      </w:r>
      <w:r w:rsidR="00E11EE6" w:rsidRPr="00E11EE6">
        <w:rPr>
          <w:rFonts w:asciiTheme="minorEastAsia" w:eastAsiaTheme="minorEastAsia" w:hAnsiTheme="minorEastAsia" w:cs="Times New Roman"/>
          <w:kern w:val="2"/>
          <w:sz w:val="27"/>
          <w:szCs w:val="27"/>
        </w:rPr>
        <w:br/>
        <w:t xml:space="preserve">(A) 小於800 億元　(B) 等於800 億元　(C) 大於800 億元　(D) 可能大於、等於或小於800 億元　</w:t>
      </w:r>
    </w:p>
    <w:p w14:paraId="0B567E8B" w14:textId="77777777" w:rsidR="00D56627" w:rsidRPr="005542F0" w:rsidRDefault="00BF654D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根據凱因斯的有效需求理論，下列敘述何者正確？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 xml:space="preserve">(A)自發性投資與均衡所得水準呈正向變動  (B)政府租稅乘數與均衡所得水準呈正向變動  (C)自發性消費與均衡所得水準呈正向變動  (D)平均儲蓄傾向與均衡所得水準呈正向變動  </w:t>
      </w:r>
    </w:p>
    <w:p w14:paraId="10414356" w14:textId="77777777" w:rsidR="00D56627" w:rsidRPr="005542F0" w:rsidRDefault="00A77973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="00BF654D"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根據凱因斯的消費理論，下列何者正確？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 xml:space="preserve">(A)邊際消費傾向 = </w:t>
      </w:r>
      <w:r w:rsidR="00BF654D" w:rsidRPr="005542F0">
        <w:rPr>
          <w:rFonts w:asciiTheme="minorEastAsia" w:eastAsiaTheme="minorEastAsia" w:hAnsiTheme="minorEastAsia" w:cs="Times New Roman"/>
          <w:noProof/>
          <w:kern w:val="2"/>
          <w:sz w:val="27"/>
          <w:szCs w:val="27"/>
        </w:rPr>
        <w:drawing>
          <wp:inline distT="0" distB="0" distL="0" distR="0" wp14:anchorId="3E208F50" wp14:editId="0226C9C2">
            <wp:extent cx="810895" cy="431165"/>
            <wp:effectExtent l="0" t="0" r="8255" b="6985"/>
            <wp:docPr id="2" name="圖片 2" descr="http://127.0.0.1/ep/images/B646S1/646S1ch14-03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127.0.0.1/ep/images/B646S1/646S1ch14-035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895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(B)邊際消費傾向大於平均消費傾向  (C)0 &lt; 邊際消費傾向 &lt; 1  (D)邊際消費傾向的倒數是乘數係數  </w:t>
      </w:r>
    </w:p>
    <w:p w14:paraId="32C0ED7F" w14:textId="77777777" w:rsidR="00D56627" w:rsidRPr="005542F0" w:rsidRDefault="00A77973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="00BF654D"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在簡單凱因斯模型中，假設MPS = 0.2，若自發性投資增加10億元，則投資乘數（K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  <w:vertAlign w:val="subscript"/>
        </w:rPr>
        <w:t>I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）與所得增量（ΔY）分別為多少？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>(A)K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  <w:vertAlign w:val="subscript"/>
        </w:rPr>
        <w:t>I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= 5，ΔY = 50億元  (B)K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  <w:vertAlign w:val="subscript"/>
        </w:rPr>
        <w:t>I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= 4，ΔY = 40億元  (C)K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  <w:vertAlign w:val="subscript"/>
        </w:rPr>
        <w:t>I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= 0.2，ΔY = 2億元  (D)K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  <w:vertAlign w:val="subscript"/>
        </w:rPr>
        <w:t>I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= 0.25，ΔY = 2.5億元  </w:t>
      </w:r>
    </w:p>
    <w:p w14:paraId="2E63DDE8" w14:textId="77777777" w:rsidR="00D56627" w:rsidRPr="005542F0" w:rsidRDefault="00A77973" w:rsidP="00A77973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="00BF654D"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假設「</w:t>
      </w:r>
      <w:proofErr w:type="gramStart"/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哈比國</w:t>
      </w:r>
      <w:proofErr w:type="gramEnd"/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」充分就業的均衡所得為500億元，若某年「</w:t>
      </w:r>
      <w:proofErr w:type="gramStart"/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哈比國</w:t>
      </w:r>
      <w:proofErr w:type="gramEnd"/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」的MPC　=　0.75且膨脹缺口為50億元，則「</w:t>
      </w:r>
      <w:proofErr w:type="gramStart"/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哈比國</w:t>
      </w:r>
      <w:proofErr w:type="gramEnd"/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」當年的產出缺口為(A)200億元  (B)550億元  (C)600億元  (D)700億元    </w:t>
      </w:r>
    </w:p>
    <w:p w14:paraId="4844CCAC" w14:textId="77777777" w:rsidR="00D56627" w:rsidRPr="005542F0" w:rsidRDefault="00BF654D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若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一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簡單的凱因斯模型中，Y = C + I，C = a + </w:t>
      </w:r>
      <w:proofErr w:type="spell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bY</w:t>
      </w:r>
      <w:proofErr w:type="spell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，其中b為邊際消費傾向，C為消費，I為投資，Y為所得。假設此經濟體系充分就業所得為100，則下列敘述何者正確？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 xml:space="preserve">(A)若b = 0.75且膨脹缺口為50時，則均衡所得為200  (B)若b = 0.8且膨脹缺口為50時，均衡所得為250  (C)若b = 0.75且緊縮缺口為10時，則均衡所得為60  (D)若b = 0.8且緊縮缺口為10時，則均衡所得為150  </w:t>
      </w:r>
    </w:p>
    <w:p w14:paraId="126CAF97" w14:textId="77777777" w:rsidR="00F86753" w:rsidRDefault="00A77973" w:rsidP="00F86753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="00BF654D"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2015年希臘面臨還不出國際紓困貸款的窘境，因此該國政府採取</w:t>
      </w:r>
      <w:proofErr w:type="gramStart"/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樽</w:t>
      </w:r>
      <w:proofErr w:type="gramEnd"/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節政策，要求民眾增加儲蓄、減少消費。假設在希臘處於未達充分就業的情況下，該國最可能會出現什麼現象？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 xml:space="preserve">(A)節儉的矛盾  (B)鑽石與水的矛盾  (C)價值的矛盾  (D)開支的矛盾  </w:t>
      </w:r>
    </w:p>
    <w:p w14:paraId="6E98E3CF" w14:textId="77777777" w:rsidR="00F86753" w:rsidRPr="00F86753" w:rsidRDefault="00BF654D" w:rsidP="00F86753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F86753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F86753">
        <w:rPr>
          <w:rFonts w:hint="eastAsia"/>
        </w:rPr>
        <w:t xml:space="preserve">  </w:t>
      </w:r>
      <w:r w:rsidRPr="00F86753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</w:t>
      </w:r>
      <w:r w:rsidR="00F86753" w:rsidRPr="00F86753">
        <w:rPr>
          <w:rFonts w:asciiTheme="minorEastAsia" w:eastAsiaTheme="minorEastAsia" w:hAnsiTheme="minorEastAsia" w:cs="Times New Roman"/>
          <w:kern w:val="2"/>
          <w:sz w:val="27"/>
          <w:szCs w:val="27"/>
        </w:rPr>
        <w:t xml:space="preserve">在一個有政府部門的經濟社會中，消費函數C＝800＋0.8Yd，投資I＝200，稅收T＝100，Yd＝Y－T，則均衡所得為(A) $5,000　(B) $4,800　(C) $4,500　(D) $4,600　</w:t>
      </w:r>
    </w:p>
    <w:p w14:paraId="7A685FA0" w14:textId="77777777" w:rsidR="00D56627" w:rsidRPr="005542F0" w:rsidRDefault="00BF654D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假設「巨人國」充分就業的均衡所得為400億元，假設「巨人國」的MPC = 0.8且緊縮缺口為20億元，該國採取定額稅制，則下列何者正確？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 xml:space="preserve">(A)該國的投資乘數為4  (B)產出缺口為80億元  (C)該國當年的實際均衡所得為300億元  (D)租稅乘數為-3  </w:t>
      </w:r>
    </w:p>
    <w:p w14:paraId="11297ED4" w14:textId="77777777" w:rsidR="00D56627" w:rsidRPr="005542F0" w:rsidRDefault="00BF654D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在加入政府部門的凱因斯模型（無國外部門，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採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定額稅）下，若某國政府同時增稅20億元與增加公共支出20億元，則該國的國民所得會(A)增加10億元  (B)增加20億元  (C)減少20億元  (D)不變  </w:t>
      </w:r>
    </w:p>
    <w:p w14:paraId="7FF34EAC" w14:textId="77777777" w:rsidR="00D56627" w:rsidRPr="005542F0" w:rsidRDefault="00A77973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="00BF654D"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某年知名樂團五月天在台北大安森林公園舉辦「重返七號公園」免費演唱會，歌迷不僅可以現場聆聽，還可以在網路上觀看全程同步直播。由於大量歌迷前往現場，影響附近的交通狀況，為此，台北市政府特別派出上百名警力進行管制。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>上述情形中，「影響附近交通狀況」這種對他人權益產生影響的現象，在經濟學上稱為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 xml:space="preserve">(A)資訊不對稱  (B)外部效果  (C)比較利益  (D)公共選擇問題  </w:t>
      </w:r>
    </w:p>
    <w:p w14:paraId="341E1D83" w14:textId="77777777" w:rsidR="00D56627" w:rsidRPr="005542F0" w:rsidRDefault="00A77973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="00BF654D"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下列何者不是外部成本的例子？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 xml:space="preserve">(A)讓寵物在公共場所隨地大小便而不清理  (B)居民組成巡守隊每天定時巡邏社區  (C)住頂樓的阿光將盆栽廢水直接往樓下傾倒  (D)化學工廠爆炸造成化學污染物擴散  </w:t>
      </w:r>
    </w:p>
    <w:p w14:paraId="025EFC57" w14:textId="77777777" w:rsidR="00D56627" w:rsidRPr="005542F0" w:rsidRDefault="00BF654D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有關公共財的說法，下列何者不正確？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>(A)公共財的特性包含共享性及不可排他性  (B)公共財容易產生搭便車的行為  (C)政府提供的公共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財均為政府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自行生產  (D)政府為了防治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疫情所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成立的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疫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情指揮中心，是屬於公共財  </w:t>
      </w:r>
    </w:p>
    <w:p w14:paraId="11034F9A" w14:textId="77777777" w:rsidR="00D56627" w:rsidRPr="005542F0" w:rsidRDefault="00BF654D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下列何者不是造成市場失靈的原因？　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>(A)外部性　  (B)公共財　  (C)資訊不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對稱　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(D)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廠商間的競爭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程度高  </w:t>
      </w:r>
    </w:p>
    <w:p w14:paraId="4711910D" w14:textId="77777777" w:rsidR="00D56627" w:rsidRPr="005542F0" w:rsidRDefault="00BF654D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當財貨的供給者在技術上可以禁止未付費的消費者消費的現象，稱之為：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>(A)消費上的敵對性  (B)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消費上的非排他性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(C)消費上的非敵對性  (D)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消費上的排他性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</w:p>
    <w:p w14:paraId="07F682DB" w14:textId="77777777" w:rsidR="00E11EE6" w:rsidRDefault="00BF654D" w:rsidP="00E11EE6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班上進行以「公共財」為題的討論，四位同學提出不同的見解。試問下列何者的說法最正確？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>(A)智勝：「純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公共財具共享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性和排他性。」  (B)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立業：「當提供公共財對社會的效益大於成本，則不值得提供」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(C)中興：「政府所提供的一切資源皆稱為公共財。」  (D)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小</w:t>
      </w:r>
      <w:proofErr w:type="gramStart"/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曼</w:t>
      </w:r>
      <w:proofErr w:type="gramEnd"/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：「公共財容易產生搭便車問題，人們不願付費，致使公共財在自由市場的供應量偏低」  </w:t>
      </w:r>
    </w:p>
    <w:p w14:paraId="1706CAF3" w14:textId="77777777" w:rsidR="00D56627" w:rsidRPr="00E11EE6" w:rsidRDefault="00BF654D" w:rsidP="00E11EE6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E11EE6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E11EE6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E11EE6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</w:t>
      </w:r>
      <w:r w:rsidR="00E11EE6" w:rsidRPr="00E11EE6">
        <w:rPr>
          <w:rFonts w:asciiTheme="minorEastAsia" w:eastAsiaTheme="minorEastAsia" w:hAnsiTheme="minorEastAsia" w:cs="Times New Roman"/>
          <w:kern w:val="2"/>
          <w:sz w:val="27"/>
          <w:szCs w:val="27"/>
        </w:rPr>
        <w:t>上述中各項財貨的分類，下列何者正確？</w:t>
      </w:r>
      <w:r w:rsidR="00E11EE6" w:rsidRPr="00E11EE6">
        <w:rPr>
          <w:rFonts w:asciiTheme="minorEastAsia" w:eastAsiaTheme="minorEastAsia" w:hAnsiTheme="minorEastAsia" w:cs="Times New Roman"/>
          <w:kern w:val="2"/>
          <w:sz w:val="27"/>
          <w:szCs w:val="27"/>
        </w:rPr>
        <w:br/>
        <w:t xml:space="preserve">(A) </w:t>
      </w:r>
      <w:proofErr w:type="gramStart"/>
      <w:r w:rsidR="00E11EE6" w:rsidRPr="00E11EE6">
        <w:rPr>
          <w:rFonts w:asciiTheme="minorEastAsia" w:eastAsiaTheme="minorEastAsia" w:hAnsiTheme="minorEastAsia" w:cs="Times New Roman"/>
          <w:kern w:val="2"/>
          <w:sz w:val="27"/>
          <w:szCs w:val="27"/>
        </w:rPr>
        <w:t>小吳在</w:t>
      </w:r>
      <w:proofErr w:type="gramEnd"/>
      <w:r w:rsidR="00E11EE6" w:rsidRPr="00E11EE6">
        <w:rPr>
          <w:rFonts w:asciiTheme="minorEastAsia" w:eastAsiaTheme="minorEastAsia" w:hAnsiTheme="minorEastAsia" w:cs="Times New Roman"/>
          <w:kern w:val="2"/>
          <w:sz w:val="27"/>
          <w:szCs w:val="27"/>
        </w:rPr>
        <w:t>車上收聽的「空中英語教室」是屬於</w:t>
      </w:r>
      <w:proofErr w:type="gramStart"/>
      <w:r w:rsidR="00E11EE6" w:rsidRPr="00E11EE6">
        <w:rPr>
          <w:rFonts w:asciiTheme="minorEastAsia" w:eastAsiaTheme="minorEastAsia" w:hAnsiTheme="minorEastAsia" w:cs="Times New Roman"/>
          <w:kern w:val="2"/>
          <w:sz w:val="27"/>
          <w:szCs w:val="27"/>
        </w:rPr>
        <w:t>準</w:t>
      </w:r>
      <w:proofErr w:type="gramEnd"/>
      <w:r w:rsidR="00E11EE6" w:rsidRPr="00E11EE6">
        <w:rPr>
          <w:rFonts w:asciiTheme="minorEastAsia" w:eastAsiaTheme="minorEastAsia" w:hAnsiTheme="minorEastAsia" w:cs="Times New Roman"/>
          <w:kern w:val="2"/>
          <w:sz w:val="27"/>
          <w:szCs w:val="27"/>
        </w:rPr>
        <w:t>公共財　(B) 塞車的高速公路是屬於</w:t>
      </w:r>
      <w:proofErr w:type="gramStart"/>
      <w:r w:rsidR="00E11EE6" w:rsidRPr="00E11EE6">
        <w:rPr>
          <w:rFonts w:asciiTheme="minorEastAsia" w:eastAsiaTheme="minorEastAsia" w:hAnsiTheme="minorEastAsia" w:cs="Times New Roman"/>
          <w:kern w:val="2"/>
          <w:sz w:val="27"/>
          <w:szCs w:val="27"/>
        </w:rPr>
        <w:t>準</w:t>
      </w:r>
      <w:proofErr w:type="gramEnd"/>
      <w:r w:rsidR="00E11EE6" w:rsidRPr="00E11EE6">
        <w:rPr>
          <w:rFonts w:asciiTheme="minorEastAsia" w:eastAsiaTheme="minorEastAsia" w:hAnsiTheme="minorEastAsia" w:cs="Times New Roman"/>
          <w:kern w:val="2"/>
          <w:sz w:val="27"/>
          <w:szCs w:val="27"/>
        </w:rPr>
        <w:t>私有財　(C) 101 大樓的停車格對小吳而言是</w:t>
      </w:r>
      <w:proofErr w:type="gramStart"/>
      <w:r w:rsidR="00E11EE6" w:rsidRPr="00E11EE6">
        <w:rPr>
          <w:rFonts w:asciiTheme="minorEastAsia" w:eastAsiaTheme="minorEastAsia" w:hAnsiTheme="minorEastAsia" w:cs="Times New Roman"/>
          <w:kern w:val="2"/>
          <w:sz w:val="27"/>
          <w:szCs w:val="27"/>
        </w:rPr>
        <w:t>準</w:t>
      </w:r>
      <w:proofErr w:type="gramEnd"/>
      <w:r w:rsidR="00E11EE6" w:rsidRPr="00E11EE6">
        <w:rPr>
          <w:rFonts w:asciiTheme="minorEastAsia" w:eastAsiaTheme="minorEastAsia" w:hAnsiTheme="minorEastAsia" w:cs="Times New Roman"/>
          <w:kern w:val="2"/>
          <w:sz w:val="27"/>
          <w:szCs w:val="27"/>
        </w:rPr>
        <w:t>公共財　(D) google 的健身器材對小吳而言是</w:t>
      </w:r>
      <w:proofErr w:type="gramStart"/>
      <w:r w:rsidR="00E11EE6" w:rsidRPr="00E11EE6">
        <w:rPr>
          <w:rFonts w:asciiTheme="minorEastAsia" w:eastAsiaTheme="minorEastAsia" w:hAnsiTheme="minorEastAsia" w:cs="Times New Roman"/>
          <w:kern w:val="2"/>
          <w:sz w:val="27"/>
          <w:szCs w:val="27"/>
        </w:rPr>
        <w:t>準</w:t>
      </w:r>
      <w:proofErr w:type="gramEnd"/>
      <w:r w:rsidR="00E11EE6" w:rsidRPr="00E11EE6">
        <w:rPr>
          <w:rFonts w:asciiTheme="minorEastAsia" w:eastAsiaTheme="minorEastAsia" w:hAnsiTheme="minorEastAsia" w:cs="Times New Roman"/>
          <w:kern w:val="2"/>
          <w:sz w:val="27"/>
          <w:szCs w:val="27"/>
        </w:rPr>
        <w:t xml:space="preserve">私有財　</w:t>
      </w:r>
    </w:p>
    <w:p w14:paraId="7AA49960" w14:textId="77777777" w:rsidR="00D56627" w:rsidRPr="005542F0" w:rsidRDefault="00BF654D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阿發開了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一家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炸雞排店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，排隊人潮絡繹不絕，但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阿發逃漏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開立統一發票，請問此種行為會影響下列哪一種政府收入？(A)租稅收入  (B)規費收入  (C)公有財產收入  (D)舉債收入  </w:t>
      </w:r>
    </w:p>
    <w:p w14:paraId="179CF48F" w14:textId="77777777" w:rsidR="00D56627" w:rsidRPr="005542F0" w:rsidRDefault="00BF654D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已</w:t>
      </w:r>
      <w:proofErr w:type="gramStart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知花媽家</w:t>
      </w:r>
      <w:proofErr w:type="gramEnd"/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的理財及支出帳目款項如下表所示，試計算屬於政府收入的金額有多少元？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</w:r>
      <w:r w:rsidRPr="005542F0">
        <w:rPr>
          <w:rFonts w:asciiTheme="minorEastAsia" w:eastAsiaTheme="minorEastAsia" w:hAnsiTheme="minorEastAsia" w:cs="Times New Roman"/>
          <w:noProof/>
          <w:kern w:val="2"/>
          <w:sz w:val="27"/>
          <w:szCs w:val="27"/>
        </w:rPr>
        <w:drawing>
          <wp:inline distT="0" distB="0" distL="0" distR="0" wp14:anchorId="2516CBDA" wp14:editId="769742C3">
            <wp:extent cx="2562225" cy="1958340"/>
            <wp:effectExtent l="0" t="0" r="9525" b="3810"/>
            <wp:docPr id="7" name="圖片 7" descr="http://127.0.0.1/ep/images/B646S1/646S1ch16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127.0.0.1/ep/images/B646S1/646S1ch16-004.wm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 xml:space="preserve">(A)75,600元  (B)15,600元  (C)8,600元  (D)90,600元  </w:t>
      </w:r>
    </w:p>
    <w:p w14:paraId="7B5ECF03" w14:textId="77777777" w:rsidR="00D56627" w:rsidRPr="005542F0" w:rsidRDefault="00A77973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="00BF654D"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關於政府的支出，下列敘述何者正確？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 xml:space="preserve">(A)依經濟性區分，可將政府支出區分為經常支出與資本支出  (B)相較於資本支出，經常支出較能刺激民間投資  (C)資本支出多半是屬於例行性的費用支出  (D)政府財政支出 &lt; 政府收入，即表示產生財政赤字  </w:t>
      </w:r>
    </w:p>
    <w:p w14:paraId="7F38A7B6" w14:textId="77777777" w:rsidR="00D56627" w:rsidRPr="005542F0" w:rsidRDefault="00BF654D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政府的財政政策是透過調整下列何者來達到經濟穩定與成長的目標？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>(A)利率水準  (B)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貨幣供給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(C)匯率水準  (D)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政府收支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</w:p>
    <w:p w14:paraId="3B86FA9C" w14:textId="77777777" w:rsidR="00E11EE6" w:rsidRDefault="00BF654D" w:rsidP="00E11EE6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下列關於公共選擇理論的敘述，何者錯誤？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br/>
        <w:t>(A)由學者布坎南所提出  (B)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參與公共選擇者包括選民、政治人物、官僚、利益團體  </w:t>
      </w: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>(C)透過民主政治的程序，決定公共政策及公共財數量  (D)</w:t>
      </w:r>
      <w:r w:rsidR="00650D46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假設每個人都是理性且無私的  </w:t>
      </w:r>
    </w:p>
    <w:p w14:paraId="44491880" w14:textId="77777777" w:rsidR="00D56627" w:rsidRPr="00E11EE6" w:rsidRDefault="00BF654D" w:rsidP="00E11EE6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E11EE6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Pr="00E11EE6">
        <w:rPr>
          <w:rFonts w:hint="eastAsia"/>
        </w:rPr>
        <w:t xml:space="preserve">  </w:t>
      </w:r>
      <w:r w:rsidRPr="00E11EE6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</w:t>
      </w:r>
      <w:proofErr w:type="gramStart"/>
      <w:r w:rsidR="00E11EE6" w:rsidRPr="00E11EE6">
        <w:rPr>
          <w:rFonts w:asciiTheme="minorEastAsia" w:eastAsiaTheme="minorEastAsia" w:hAnsiTheme="minorEastAsia" w:cs="Times New Roman"/>
          <w:kern w:val="2"/>
          <w:sz w:val="27"/>
          <w:szCs w:val="27"/>
        </w:rPr>
        <w:t>以下何</w:t>
      </w:r>
      <w:proofErr w:type="gramEnd"/>
      <w:r w:rsidR="00E11EE6" w:rsidRPr="00E11EE6">
        <w:rPr>
          <w:rFonts w:asciiTheme="minorEastAsia" w:eastAsiaTheme="minorEastAsia" w:hAnsiTheme="minorEastAsia" w:cs="Times New Roman"/>
          <w:kern w:val="2"/>
          <w:sz w:val="27"/>
          <w:szCs w:val="27"/>
        </w:rPr>
        <w:t>者屬於競租（rent seeking）行為？</w:t>
      </w:r>
      <w:r w:rsidR="00E11EE6" w:rsidRPr="00E11EE6">
        <w:rPr>
          <w:rFonts w:asciiTheme="minorEastAsia" w:eastAsiaTheme="minorEastAsia" w:hAnsiTheme="minorEastAsia" w:cs="Times New Roman"/>
          <w:kern w:val="2"/>
          <w:sz w:val="27"/>
          <w:szCs w:val="27"/>
        </w:rPr>
        <w:br/>
        <w:t xml:space="preserve">(A) 知名畫家梵谷畫作拍賣，因買家踴躍競標，成交金額創新高　(B) 某企業宣布新型節能個人載具即將量產上市，相關產業股價上揚　(C) 某團體向政府官員施壓行賄，保障其專屬獨享利益　(D) 地方政府舉辦春季露天演唱會，以聚集觀光客增加地方收入　</w:t>
      </w:r>
      <w:r w:rsidRPr="00E11EE6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</w:t>
      </w:r>
    </w:p>
    <w:p w14:paraId="433DBA92" w14:textId="77777777" w:rsidR="00D56627" w:rsidRPr="005542F0" w:rsidRDefault="00A77973" w:rsidP="005542F0">
      <w:pPr>
        <w:pStyle w:val="question"/>
        <w:numPr>
          <w:ilvl w:val="0"/>
          <w:numId w:val="2"/>
        </w:numPr>
        <w:tabs>
          <w:tab w:val="num" w:pos="380"/>
        </w:tabs>
        <w:ind w:left="880" w:hanging="880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  <w:r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( </w:t>
      </w:r>
      <w:r w:rsidR="00BF654D" w:rsidRPr="005542F0">
        <w:rPr>
          <w:rStyle w:val="red1"/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 </w:t>
      </w:r>
      <w:r w:rsidR="00BF654D" w:rsidRPr="005542F0">
        <w:rPr>
          <w:rFonts w:asciiTheme="minorEastAsia" w:eastAsiaTheme="minorEastAsia" w:hAnsiTheme="minorEastAsia" w:cs="Times New Roman" w:hint="eastAsia"/>
          <w:kern w:val="2"/>
          <w:sz w:val="27"/>
          <w:szCs w:val="27"/>
        </w:rPr>
        <w:t xml:space="preserve"> ) </w:t>
      </w:r>
      <w:r w:rsidR="005542F0" w:rsidRPr="005542F0">
        <w:rPr>
          <w:rFonts w:asciiTheme="minorEastAsia" w:eastAsiaTheme="minorEastAsia" w:hAnsiTheme="minorEastAsia"/>
          <w:sz w:val="27"/>
          <w:szCs w:val="27"/>
        </w:rPr>
        <w:t>2020 年，</w:t>
      </w:r>
      <w:proofErr w:type="gramStart"/>
      <w:r w:rsidR="005542F0" w:rsidRPr="005542F0">
        <w:rPr>
          <w:rFonts w:asciiTheme="minorEastAsia" w:eastAsiaTheme="minorEastAsia" w:hAnsiTheme="minorEastAsia"/>
          <w:sz w:val="27"/>
          <w:szCs w:val="27"/>
        </w:rPr>
        <w:t>新型冠</w:t>
      </w:r>
      <w:proofErr w:type="gramEnd"/>
      <w:r w:rsidR="005542F0" w:rsidRPr="005542F0">
        <w:rPr>
          <w:rFonts w:asciiTheme="minorEastAsia" w:eastAsiaTheme="minorEastAsia" w:hAnsiTheme="minorEastAsia"/>
          <w:sz w:val="27"/>
          <w:szCs w:val="27"/>
        </w:rPr>
        <w:t>狀病毒(COVID-19)</w:t>
      </w:r>
      <w:proofErr w:type="gramStart"/>
      <w:r w:rsidR="005542F0" w:rsidRPr="005542F0">
        <w:rPr>
          <w:rFonts w:asciiTheme="minorEastAsia" w:eastAsiaTheme="minorEastAsia" w:hAnsiTheme="minorEastAsia"/>
          <w:sz w:val="27"/>
          <w:szCs w:val="27"/>
        </w:rPr>
        <w:t>疫情在</w:t>
      </w:r>
      <w:proofErr w:type="gramEnd"/>
      <w:r w:rsidR="005542F0" w:rsidRPr="005542F0">
        <w:rPr>
          <w:rFonts w:asciiTheme="minorEastAsia" w:eastAsiaTheme="minorEastAsia" w:hAnsiTheme="minorEastAsia"/>
          <w:sz w:val="27"/>
          <w:szCs w:val="27"/>
        </w:rPr>
        <w:t>全球蔓延，各國經濟均遭受重創。國際貨幣基 金組織(IMF)表示，該年全球經濟的萎縮衰退是自 1930 年代經濟大蕭條以來最嚴重的一 次。為因應</w:t>
      </w:r>
      <w:proofErr w:type="gramStart"/>
      <w:r w:rsidR="005542F0" w:rsidRPr="005542F0">
        <w:rPr>
          <w:rFonts w:asciiTheme="minorEastAsia" w:eastAsiaTheme="minorEastAsia" w:hAnsiTheme="minorEastAsia"/>
          <w:sz w:val="27"/>
          <w:szCs w:val="27"/>
        </w:rPr>
        <w:t>疫</w:t>
      </w:r>
      <w:proofErr w:type="gramEnd"/>
      <w:r w:rsidR="005542F0" w:rsidRPr="005542F0">
        <w:rPr>
          <w:rFonts w:asciiTheme="minorEastAsia" w:eastAsiaTheme="minorEastAsia" w:hAnsiTheme="minorEastAsia"/>
          <w:sz w:val="27"/>
          <w:szCs w:val="27"/>
        </w:rPr>
        <w:t xml:space="preserve">情造成的經濟衰退，我國政府在 2020 年 7 月 15 日起發行「振興經濟三倍 </w:t>
      </w:r>
      <w:proofErr w:type="gramStart"/>
      <w:r w:rsidR="005542F0" w:rsidRPr="005542F0">
        <w:rPr>
          <w:rFonts w:asciiTheme="minorEastAsia" w:eastAsiaTheme="minorEastAsia" w:hAnsiTheme="minorEastAsia"/>
          <w:sz w:val="27"/>
          <w:szCs w:val="27"/>
        </w:rPr>
        <w:t>券</w:t>
      </w:r>
      <w:proofErr w:type="gramEnd"/>
      <w:r w:rsidR="005542F0" w:rsidRPr="005542F0">
        <w:rPr>
          <w:rFonts w:asciiTheme="minorEastAsia" w:eastAsiaTheme="minorEastAsia" w:hAnsiTheme="minorEastAsia"/>
          <w:sz w:val="27"/>
          <w:szCs w:val="27"/>
        </w:rPr>
        <w:t>」，提供每一位申請人等值於新臺幣 3,000 元的消費專用</w:t>
      </w:r>
      <w:proofErr w:type="gramStart"/>
      <w:r w:rsidR="005542F0" w:rsidRPr="005542F0">
        <w:rPr>
          <w:rFonts w:asciiTheme="minorEastAsia" w:eastAsiaTheme="minorEastAsia" w:hAnsiTheme="minorEastAsia"/>
          <w:sz w:val="27"/>
          <w:szCs w:val="27"/>
        </w:rPr>
        <w:t>券</w:t>
      </w:r>
      <w:proofErr w:type="gramEnd"/>
      <w:r w:rsidR="005542F0" w:rsidRPr="005542F0">
        <w:rPr>
          <w:rFonts w:asciiTheme="minorEastAsia" w:eastAsiaTheme="minorEastAsia" w:hAnsiTheme="minorEastAsia"/>
          <w:sz w:val="27"/>
          <w:szCs w:val="27"/>
        </w:rPr>
        <w:t>。當時的行政院長認為，發 放消費</w:t>
      </w:r>
      <w:proofErr w:type="gramStart"/>
      <w:r w:rsidR="005542F0" w:rsidRPr="005542F0">
        <w:rPr>
          <w:rFonts w:asciiTheme="minorEastAsia" w:eastAsiaTheme="minorEastAsia" w:hAnsiTheme="minorEastAsia"/>
          <w:sz w:val="27"/>
          <w:szCs w:val="27"/>
        </w:rPr>
        <w:t>券</w:t>
      </w:r>
      <w:proofErr w:type="gramEnd"/>
      <w:r w:rsidR="005542F0" w:rsidRPr="005542F0">
        <w:rPr>
          <w:rFonts w:asciiTheme="minorEastAsia" w:eastAsiaTheme="minorEastAsia" w:hAnsiTheme="minorEastAsia"/>
          <w:sz w:val="27"/>
          <w:szCs w:val="27"/>
        </w:rPr>
        <w:t>可以刺激民眾出門消費，提升各行各業營收，創造乘數效果，進而帶動國民所 得倍數成長。然而，國民黨黨團卻表示：中央政府應拋棄「樂透式」的振興作為，將</w:t>
      </w:r>
      <w:proofErr w:type="gramStart"/>
      <w:r w:rsidR="005542F0" w:rsidRPr="005542F0">
        <w:rPr>
          <w:rFonts w:asciiTheme="minorEastAsia" w:eastAsiaTheme="minorEastAsia" w:hAnsiTheme="minorEastAsia"/>
          <w:sz w:val="27"/>
          <w:szCs w:val="27"/>
        </w:rPr>
        <w:t>紓</w:t>
      </w:r>
      <w:proofErr w:type="gramEnd"/>
      <w:r w:rsidR="005542F0" w:rsidRPr="005542F0">
        <w:rPr>
          <w:rFonts w:asciiTheme="minorEastAsia" w:eastAsiaTheme="minorEastAsia" w:hAnsiTheme="minorEastAsia"/>
          <w:sz w:val="27"/>
          <w:szCs w:val="27"/>
        </w:rPr>
        <w:t xml:space="preserve"> 困預算下放給各縣市，提出適合當地的振興方案，才能達到真正的「三倍效果」。另外， 身兼台灣民眾黨黨主席的台北市長則認為，「防疫紓困振興」是國家戰略錯誤，「</w:t>
      </w:r>
      <w:proofErr w:type="gramStart"/>
      <w:r w:rsidR="005542F0" w:rsidRPr="005542F0">
        <w:rPr>
          <w:rFonts w:asciiTheme="minorEastAsia" w:eastAsiaTheme="minorEastAsia" w:hAnsiTheme="minorEastAsia"/>
          <w:sz w:val="27"/>
          <w:szCs w:val="27"/>
        </w:rPr>
        <w:t>大撒幣</w:t>
      </w:r>
      <w:proofErr w:type="gramEnd"/>
      <w:r w:rsidR="005542F0" w:rsidRPr="005542F0">
        <w:rPr>
          <w:rFonts w:asciiTheme="minorEastAsia" w:eastAsiaTheme="minorEastAsia" w:hAnsiTheme="minorEastAsia"/>
          <w:sz w:val="27"/>
          <w:szCs w:val="27"/>
        </w:rPr>
        <w:t>」 政策並不能發揮振興效果，因此主張政府應該做的是「防疫紓困轉型」，亦即運用這些 經費來輔導企業轉型，例如投入無現金交易、電子商務等，方能創造長遠的經濟效益。 行政院長認為「發放振興消費</w:t>
      </w:r>
      <w:proofErr w:type="gramStart"/>
      <w:r w:rsidR="005542F0" w:rsidRPr="005542F0">
        <w:rPr>
          <w:rFonts w:asciiTheme="minorEastAsia" w:eastAsiaTheme="minorEastAsia" w:hAnsiTheme="minorEastAsia"/>
          <w:sz w:val="27"/>
          <w:szCs w:val="27"/>
        </w:rPr>
        <w:t>券</w:t>
      </w:r>
      <w:proofErr w:type="gramEnd"/>
      <w:r w:rsidR="005542F0" w:rsidRPr="005542F0">
        <w:rPr>
          <w:rFonts w:asciiTheme="minorEastAsia" w:eastAsiaTheme="minorEastAsia" w:hAnsiTheme="minorEastAsia"/>
          <w:sz w:val="27"/>
          <w:szCs w:val="27"/>
        </w:rPr>
        <w:t>可以提升各行各業營收、帶動國民所得倍數成長」，其 思想偏向下列何者？ (A)需求法則 (B)供給法則 (C)乘數原理 (D)流動性偏好說。</w:t>
      </w:r>
    </w:p>
    <w:p w14:paraId="322B453D" w14:textId="77777777" w:rsidR="00D56627" w:rsidRPr="005542F0" w:rsidRDefault="00D56627" w:rsidP="00A77973">
      <w:pPr>
        <w:pStyle w:val="question"/>
        <w:rPr>
          <w:rFonts w:asciiTheme="minorEastAsia" w:eastAsiaTheme="minorEastAsia" w:hAnsiTheme="minorEastAsia" w:cs="Times New Roman"/>
          <w:kern w:val="2"/>
          <w:sz w:val="27"/>
          <w:szCs w:val="27"/>
        </w:rPr>
      </w:pPr>
    </w:p>
    <w:sectPr w:rsidR="00D56627" w:rsidRPr="005542F0">
      <w:pgSz w:w="14572" w:h="20639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A650D" w14:textId="77777777" w:rsidR="004F7806" w:rsidRDefault="004F7806" w:rsidP="00650D46">
      <w:r>
        <w:separator/>
      </w:r>
    </w:p>
  </w:endnote>
  <w:endnote w:type="continuationSeparator" w:id="0">
    <w:p w14:paraId="2E11E8F7" w14:textId="77777777" w:rsidR="004F7806" w:rsidRDefault="004F7806" w:rsidP="00650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640C3" w14:textId="77777777" w:rsidR="004F7806" w:rsidRDefault="004F7806" w:rsidP="00650D46">
      <w:r>
        <w:separator/>
      </w:r>
    </w:p>
  </w:footnote>
  <w:footnote w:type="continuationSeparator" w:id="0">
    <w:p w14:paraId="4229C5A5" w14:textId="77777777" w:rsidR="004F7806" w:rsidRDefault="004F7806" w:rsidP="00650D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C14A55"/>
    <w:multiLevelType w:val="hybridMultilevel"/>
    <w:tmpl w:val="D9C02A7E"/>
    <w:lvl w:ilvl="0" w:tplc="96827696">
      <w:start w:val="1"/>
      <w:numFmt w:val="decimal"/>
      <w:lvlText w:val="%1."/>
      <w:lvlJc w:val="left"/>
      <w:pPr>
        <w:tabs>
          <w:tab w:val="num" w:pos="620"/>
        </w:tabs>
        <w:ind w:left="620" w:hanging="620"/>
      </w:pPr>
    </w:lvl>
    <w:lvl w:ilvl="1" w:tplc="CCBE2D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0EEDA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36CE5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C48BA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18EC4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B4DA9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08FE0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14AE9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438306">
    <w:abstractNumId w:val="0"/>
  </w:num>
  <w:num w:numId="2" w16cid:durableId="9970720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973"/>
    <w:rsid w:val="004F7806"/>
    <w:rsid w:val="005542F0"/>
    <w:rsid w:val="00650D46"/>
    <w:rsid w:val="008912BE"/>
    <w:rsid w:val="00A77973"/>
    <w:rsid w:val="00BF654D"/>
    <w:rsid w:val="00D56627"/>
    <w:rsid w:val="00E11EE6"/>
    <w:rsid w:val="00F8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42DA25"/>
  <w15:chartTrackingRefBased/>
  <w15:docId w15:val="{74B38DFA-7406-486B-B8AC-B66BB59C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after="120"/>
      <w:textAlignment w:val="center"/>
    </w:pPr>
  </w:style>
  <w:style w:type="paragraph" w:styleId="Web">
    <w:name w:val="Normal (Web)"/>
    <w:basedOn w:val="a"/>
    <w:uiPriority w:val="99"/>
    <w:semiHidden/>
    <w:unhideWhenUsed/>
    <w:pPr>
      <w:spacing w:after="120"/>
      <w:textAlignment w:val="center"/>
    </w:pPr>
  </w:style>
  <w:style w:type="paragraph" w:customStyle="1" w:styleId="a4-c1-v">
    <w:name w:val="a4-c1-v"/>
    <w:basedOn w:val="a"/>
    <w:pPr>
      <w:spacing w:after="120"/>
      <w:textAlignment w:val="center"/>
    </w:pPr>
  </w:style>
  <w:style w:type="paragraph" w:customStyle="1" w:styleId="b4-c1-v">
    <w:name w:val="b4-c1-v"/>
    <w:basedOn w:val="a"/>
    <w:pPr>
      <w:spacing w:after="120"/>
      <w:textAlignment w:val="center"/>
    </w:pPr>
  </w:style>
  <w:style w:type="paragraph" w:customStyle="1" w:styleId="b4-c2-h">
    <w:name w:val="b4-c2-h"/>
    <w:basedOn w:val="a"/>
    <w:pPr>
      <w:spacing w:after="120"/>
      <w:textAlignment w:val="center"/>
    </w:pPr>
  </w:style>
  <w:style w:type="paragraph" w:customStyle="1" w:styleId="b4-c2-v">
    <w:name w:val="b4-c2-v"/>
    <w:basedOn w:val="a"/>
    <w:pPr>
      <w:spacing w:after="120"/>
      <w:textAlignment w:val="center"/>
    </w:pPr>
  </w:style>
  <w:style w:type="paragraph" w:customStyle="1" w:styleId="ep-name">
    <w:name w:val="ep-name"/>
    <w:basedOn w:val="a"/>
    <w:pPr>
      <w:textAlignment w:val="center"/>
    </w:pPr>
    <w:rPr>
      <w:b/>
      <w:bCs/>
      <w:sz w:val="40"/>
      <w:szCs w:val="40"/>
    </w:rPr>
  </w:style>
  <w:style w:type="paragraph" w:customStyle="1" w:styleId="stu-info">
    <w:name w:val="stu-info"/>
    <w:basedOn w:val="a"/>
    <w:pPr>
      <w:spacing w:before="200" w:after="200"/>
      <w:textAlignment w:val="center"/>
    </w:pPr>
  </w:style>
  <w:style w:type="paragraph" w:customStyle="1" w:styleId="transparent">
    <w:name w:val="transparent"/>
    <w:basedOn w:val="a"/>
    <w:pPr>
      <w:spacing w:after="120"/>
      <w:textAlignment w:val="center"/>
    </w:pPr>
    <w:rPr>
      <w:color w:val="FFFFFF"/>
    </w:rPr>
  </w:style>
  <w:style w:type="paragraph" w:customStyle="1" w:styleId="ans">
    <w:name w:val="ans"/>
    <w:basedOn w:val="a"/>
    <w:pPr>
      <w:spacing w:after="120"/>
      <w:ind w:left="180" w:hanging="180"/>
      <w:textAlignment w:val="center"/>
    </w:pPr>
  </w:style>
  <w:style w:type="paragraph" w:customStyle="1" w:styleId="dans">
    <w:name w:val="dans"/>
    <w:basedOn w:val="a"/>
    <w:pPr>
      <w:spacing w:after="120"/>
      <w:textAlignment w:val="center"/>
    </w:pPr>
    <w:rPr>
      <w:color w:val="BB0000"/>
    </w:rPr>
  </w:style>
  <w:style w:type="paragraph" w:customStyle="1" w:styleId="red">
    <w:name w:val="red"/>
    <w:basedOn w:val="a"/>
    <w:pPr>
      <w:spacing w:after="120"/>
      <w:textAlignment w:val="center"/>
    </w:pPr>
    <w:rPr>
      <w:color w:val="BB0000"/>
    </w:rPr>
  </w:style>
  <w:style w:type="paragraph" w:customStyle="1" w:styleId="gray">
    <w:name w:val="gray"/>
    <w:basedOn w:val="a"/>
    <w:pPr>
      <w:spacing w:after="120"/>
      <w:textAlignment w:val="center"/>
    </w:pPr>
    <w:rPr>
      <w:color w:val="808080"/>
      <w:sz w:val="18"/>
      <w:szCs w:val="18"/>
    </w:rPr>
  </w:style>
  <w:style w:type="paragraph" w:customStyle="1" w:styleId="bold">
    <w:name w:val="bold"/>
    <w:basedOn w:val="a"/>
    <w:pPr>
      <w:spacing w:after="120"/>
      <w:textAlignment w:val="center"/>
    </w:pPr>
    <w:rPr>
      <w:b/>
      <w:bCs/>
    </w:rPr>
  </w:style>
  <w:style w:type="character" w:customStyle="1" w:styleId="transparent1">
    <w:name w:val="transparent1"/>
    <w:basedOn w:val="a0"/>
    <w:rPr>
      <w:color w:val="FFFFFF"/>
    </w:rPr>
  </w:style>
  <w:style w:type="paragraph" w:customStyle="1" w:styleId="style">
    <w:name w:val="style="/>
    <w:basedOn w:val="a"/>
    <w:pPr>
      <w:spacing w:after="120"/>
      <w:textAlignment w:val="center"/>
    </w:pPr>
  </w:style>
  <w:style w:type="paragraph" w:customStyle="1" w:styleId="question">
    <w:name w:val="question"/>
    <w:basedOn w:val="a"/>
    <w:pPr>
      <w:spacing w:after="120"/>
      <w:textAlignment w:val="center"/>
    </w:pPr>
  </w:style>
  <w:style w:type="character" w:customStyle="1" w:styleId="red1">
    <w:name w:val="red1"/>
    <w:basedOn w:val="a0"/>
    <w:rPr>
      <w:color w:val="BB0000"/>
    </w:rPr>
  </w:style>
  <w:style w:type="paragraph" w:styleId="a3">
    <w:name w:val="Balloon Text"/>
    <w:basedOn w:val="a"/>
    <w:link w:val="a4"/>
    <w:uiPriority w:val="99"/>
    <w:semiHidden/>
    <w:unhideWhenUsed/>
    <w:rsid w:val="00A77973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A77973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650D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50D46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650D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50D46"/>
    <w:rPr>
      <w:rFonts w:ascii="新細明體" w:eastAsia="新細明體" w:hAnsi="新細明體" w:cs="新細明體"/>
    </w:rPr>
  </w:style>
  <w:style w:type="table" w:styleId="a9">
    <w:name w:val="Table Grid"/>
    <w:basedOn w:val="a1"/>
    <w:uiPriority w:val="39"/>
    <w:rsid w:val="005542F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ectionParagraphStyle">
    <w:name w:val="SectionParagraphStyle"/>
    <w:basedOn w:val="a"/>
    <w:rsid w:val="00E11EE6"/>
    <w:pPr>
      <w:spacing w:after="40" w:line="280" w:lineRule="auto"/>
      <w:ind w:left="1000" w:hanging="1000"/>
      <w:textAlignment w:val="center"/>
    </w:pPr>
    <w:rPr>
      <w:rFonts w:ascii="Times New Roman" w:hAnsi="Times New Roman" w:cs="Times New Roman"/>
      <w:lang w:eastAsia="uk-UA"/>
    </w:rPr>
  </w:style>
  <w:style w:type="paragraph" w:customStyle="1" w:styleId="EXPTextColor">
    <w:name w:val="EXPTextColor"/>
    <w:basedOn w:val="a"/>
    <w:rsid w:val="00E11EE6"/>
    <w:rPr>
      <w:rFonts w:ascii="Times New Roman" w:hAnsi="Times New Roman" w:cs="Times New Roman"/>
      <w:b/>
      <w:color w:val="FF000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96640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3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2596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749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經濟期中考</dc:title>
  <dc:subject/>
  <dc:creator>user</dc:creator>
  <cp:keywords/>
  <dc:description/>
  <cp:lastModifiedBy>洪千舫</cp:lastModifiedBy>
  <cp:revision>2</cp:revision>
  <cp:lastPrinted>2022-04-18T03:36:00Z</cp:lastPrinted>
  <dcterms:created xsi:type="dcterms:W3CDTF">2022-04-19T01:34:00Z</dcterms:created>
  <dcterms:modified xsi:type="dcterms:W3CDTF">2022-04-19T01:34:00Z</dcterms:modified>
</cp:coreProperties>
</file>