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CellMar>
          <w:top w:w="15" w:type="dxa"/>
          <w:left w:w="15" w:type="dxa"/>
          <w:bottom w:w="15" w:type="dxa"/>
          <w:right w:w="15" w:type="dxa"/>
        </w:tblCellMar>
        <w:tblLook w:val="04A0"/>
      </w:tblPr>
      <w:tblGrid>
        <w:gridCol w:w="12960"/>
        <w:gridCol w:w="66"/>
        <w:gridCol w:w="276"/>
      </w:tblGrid>
      <w:tr w:rsidR="005B490F" w:rsidTr="006655AE">
        <w:trPr>
          <w:tblCellSpacing w:w="15" w:type="dxa"/>
        </w:trPr>
        <w:tc>
          <w:tcPr>
            <w:tcW w:w="1320" w:type="dxa"/>
            <w:vAlign w:val="center"/>
            <w:hideMark/>
          </w:tcPr>
          <w:tbl>
            <w:tblPr>
              <w:tblpPr w:leftFromText="180" w:rightFromText="180" w:horzAnchor="margin" w:tblpY="255"/>
              <w:tblOverlap w:val="never"/>
              <w:tblW w:w="1285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tblPr>
            <w:tblGrid>
              <w:gridCol w:w="789"/>
              <w:gridCol w:w="1252"/>
              <w:gridCol w:w="1061"/>
              <w:gridCol w:w="1352"/>
              <w:gridCol w:w="606"/>
              <w:gridCol w:w="585"/>
              <w:gridCol w:w="627"/>
              <w:gridCol w:w="1681"/>
              <w:gridCol w:w="729"/>
              <w:gridCol w:w="590"/>
              <w:gridCol w:w="580"/>
              <w:gridCol w:w="1268"/>
              <w:gridCol w:w="1735"/>
            </w:tblGrid>
            <w:tr w:rsidR="006655AE" w:rsidRPr="006655AE" w:rsidTr="006655AE">
              <w:trPr>
                <w:cantSplit/>
                <w:trHeight w:val="252"/>
              </w:trPr>
              <w:tc>
                <w:tcPr>
                  <w:tcW w:w="7953" w:type="dxa"/>
                  <w:gridSpan w:val="8"/>
                  <w:tcBorders>
                    <w:top w:val="double" w:sz="4" w:space="0" w:color="auto"/>
                    <w:left w:val="double" w:sz="4" w:space="0" w:color="auto"/>
                    <w:bottom w:val="single" w:sz="4" w:space="0" w:color="auto"/>
                    <w:right w:val="doub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8"/>
                      <w:szCs w:val="28"/>
                    </w:rPr>
                  </w:pPr>
                  <w:bookmarkStart w:id="0" w:name="_GoBack"/>
                  <w:bookmarkEnd w:id="0"/>
                  <w:r w:rsidRPr="006655AE">
                    <w:rPr>
                      <w:rFonts w:ascii="新細明體" w:eastAsia="新細明體" w:hAnsi="新細明體" w:hint="eastAsia"/>
                      <w:sz w:val="28"/>
                      <w:szCs w:val="28"/>
                    </w:rPr>
                    <w:t>市立新北高工</w:t>
                  </w:r>
                  <w:r w:rsidRPr="006655AE">
                    <w:rPr>
                      <w:rFonts w:ascii="新細明體" w:eastAsia="新細明體" w:hAnsi="新細明體" w:hint="eastAsia"/>
                      <w:color w:val="FF0000"/>
                      <w:sz w:val="28"/>
                      <w:szCs w:val="28"/>
                    </w:rPr>
                    <w:t>108</w:t>
                  </w:r>
                  <w:r w:rsidRPr="006655AE">
                    <w:rPr>
                      <w:rFonts w:ascii="新細明體" w:eastAsia="新細明體" w:hAnsi="新細明體" w:hint="eastAsia"/>
                      <w:sz w:val="28"/>
                      <w:szCs w:val="28"/>
                    </w:rPr>
                    <w:t>學年度第</w:t>
                  </w:r>
                  <w:r w:rsidRPr="006655AE">
                    <w:rPr>
                      <w:rFonts w:ascii="新細明體" w:eastAsia="新細明體" w:hAnsi="新細明體" w:hint="eastAsia"/>
                      <w:color w:val="FF0000"/>
                      <w:sz w:val="28"/>
                      <w:szCs w:val="28"/>
                    </w:rPr>
                    <w:t>1</w:t>
                  </w:r>
                  <w:r w:rsidRPr="006655AE">
                    <w:rPr>
                      <w:rFonts w:ascii="新細明體" w:eastAsia="新細明體" w:hAnsi="新細明體" w:hint="eastAsia"/>
                      <w:sz w:val="28"/>
                      <w:szCs w:val="28"/>
                    </w:rPr>
                    <w:t>學期補考試題</w:t>
                  </w:r>
                </w:p>
              </w:tc>
              <w:tc>
                <w:tcPr>
                  <w:tcW w:w="729" w:type="dxa"/>
                  <w:tcBorders>
                    <w:top w:val="double" w:sz="4" w:space="0" w:color="auto"/>
                    <w:left w:val="double" w:sz="4" w:space="0" w:color="auto"/>
                    <w:bottom w:val="sing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班別</w:t>
                  </w:r>
                </w:p>
              </w:tc>
              <w:tc>
                <w:tcPr>
                  <w:tcW w:w="590" w:type="dxa"/>
                  <w:tcBorders>
                    <w:top w:val="double" w:sz="4" w:space="0" w:color="auto"/>
                    <w:left w:val="single" w:sz="4" w:space="0" w:color="auto"/>
                    <w:bottom w:val="single" w:sz="4" w:space="0" w:color="auto"/>
                    <w:right w:val="single" w:sz="4" w:space="0" w:color="auto"/>
                  </w:tcBorders>
                  <w:vAlign w:val="center"/>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p>
              </w:tc>
              <w:tc>
                <w:tcPr>
                  <w:tcW w:w="580" w:type="dxa"/>
                  <w:tcBorders>
                    <w:top w:val="double" w:sz="4" w:space="0" w:color="auto"/>
                    <w:left w:val="single" w:sz="4" w:space="0" w:color="auto"/>
                    <w:bottom w:val="sing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座號</w:t>
                  </w:r>
                </w:p>
              </w:tc>
              <w:tc>
                <w:tcPr>
                  <w:tcW w:w="1268" w:type="dxa"/>
                  <w:tcBorders>
                    <w:top w:val="double" w:sz="4" w:space="0" w:color="auto"/>
                    <w:left w:val="single" w:sz="4" w:space="0" w:color="auto"/>
                    <w:bottom w:val="single" w:sz="4" w:space="0" w:color="auto"/>
                    <w:right w:val="single" w:sz="4" w:space="0" w:color="auto"/>
                  </w:tcBorders>
                  <w:vAlign w:val="center"/>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p>
              </w:tc>
              <w:tc>
                <w:tcPr>
                  <w:tcW w:w="1735" w:type="dxa"/>
                  <w:tcBorders>
                    <w:top w:val="double" w:sz="4" w:space="0" w:color="auto"/>
                    <w:left w:val="single" w:sz="4" w:space="0" w:color="auto"/>
                    <w:bottom w:val="single" w:sz="4" w:space="0" w:color="auto"/>
                    <w:right w:val="doub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電腦卡作答</w:t>
                  </w:r>
                </w:p>
              </w:tc>
            </w:tr>
            <w:tr w:rsidR="006655AE" w:rsidRPr="006655AE" w:rsidTr="006655AE">
              <w:trPr>
                <w:cantSplit/>
                <w:trHeight w:val="152"/>
              </w:trPr>
              <w:tc>
                <w:tcPr>
                  <w:tcW w:w="789" w:type="dxa"/>
                  <w:tcBorders>
                    <w:top w:val="single" w:sz="4" w:space="0" w:color="auto"/>
                    <w:left w:val="doub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科 目</w:t>
                  </w:r>
                </w:p>
              </w:tc>
              <w:tc>
                <w:tcPr>
                  <w:tcW w:w="1252" w:type="dxa"/>
                  <w:tcBorders>
                    <w:top w:val="single" w:sz="4" w:space="0" w:color="auto"/>
                    <w:left w:val="sing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Pr>
                      <w:rFonts w:ascii="新細明體" w:eastAsia="新細明體" w:hAnsi="新細明體" w:hint="eastAsia"/>
                      <w:sz w:val="22"/>
                      <w:szCs w:val="22"/>
                    </w:rPr>
                    <w:t>商概</w:t>
                  </w:r>
                </w:p>
              </w:tc>
              <w:tc>
                <w:tcPr>
                  <w:tcW w:w="1061" w:type="dxa"/>
                  <w:tcBorders>
                    <w:top w:val="single" w:sz="4" w:space="0" w:color="auto"/>
                    <w:left w:val="sing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命題教師</w:t>
                  </w:r>
                </w:p>
              </w:tc>
              <w:tc>
                <w:tcPr>
                  <w:tcW w:w="1352" w:type="dxa"/>
                  <w:tcBorders>
                    <w:top w:val="single" w:sz="4" w:space="0" w:color="auto"/>
                    <w:left w:val="sing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姚雅芳</w:t>
                  </w:r>
                </w:p>
              </w:tc>
              <w:tc>
                <w:tcPr>
                  <w:tcW w:w="606" w:type="dxa"/>
                  <w:tcBorders>
                    <w:top w:val="single" w:sz="4" w:space="0" w:color="auto"/>
                    <w:left w:val="sing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年級</w:t>
                  </w:r>
                </w:p>
              </w:tc>
              <w:tc>
                <w:tcPr>
                  <w:tcW w:w="585" w:type="dxa"/>
                  <w:tcBorders>
                    <w:top w:val="single" w:sz="4" w:space="0" w:color="auto"/>
                    <w:left w:val="sing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Pr>
                      <w:rFonts w:ascii="新細明體" w:eastAsia="新細明體" w:hAnsi="新細明體" w:hint="eastAsia"/>
                      <w:sz w:val="22"/>
                      <w:szCs w:val="22"/>
                    </w:rPr>
                    <w:t>一</w:t>
                  </w:r>
                </w:p>
              </w:tc>
              <w:tc>
                <w:tcPr>
                  <w:tcW w:w="627" w:type="dxa"/>
                  <w:tcBorders>
                    <w:top w:val="single" w:sz="4" w:space="0" w:color="auto"/>
                    <w:left w:val="sing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科別</w:t>
                  </w:r>
                </w:p>
              </w:tc>
              <w:tc>
                <w:tcPr>
                  <w:tcW w:w="1681" w:type="dxa"/>
                  <w:tcBorders>
                    <w:top w:val="single" w:sz="4" w:space="0" w:color="auto"/>
                    <w:left w:val="single" w:sz="4" w:space="0" w:color="auto"/>
                    <w:bottom w:val="double" w:sz="4" w:space="0" w:color="auto"/>
                    <w:right w:val="double" w:sz="4" w:space="0" w:color="auto"/>
                  </w:tcBorders>
                  <w:vAlign w:val="center"/>
                  <w:hideMark/>
                </w:tcPr>
                <w:p w:rsidR="006655AE" w:rsidRPr="006655AE" w:rsidRDefault="006655AE" w:rsidP="006655AE">
                  <w:pPr>
                    <w:tabs>
                      <w:tab w:val="center" w:pos="4153"/>
                      <w:tab w:val="right" w:pos="8306"/>
                    </w:tabs>
                    <w:snapToGrid w:val="0"/>
                    <w:ind w:firstLineChars="150" w:firstLine="330"/>
                    <w:rPr>
                      <w:rFonts w:ascii="新細明體" w:eastAsia="新細明體" w:hAnsi="新細明體"/>
                      <w:sz w:val="22"/>
                      <w:szCs w:val="22"/>
                    </w:rPr>
                  </w:pPr>
                  <w:r w:rsidRPr="006655AE">
                    <w:rPr>
                      <w:rFonts w:ascii="新細明體" w:eastAsia="新細明體" w:hAnsi="新細明體" w:hint="eastAsia"/>
                      <w:sz w:val="22"/>
                      <w:szCs w:val="22"/>
                    </w:rPr>
                    <w:t>資處科</w:t>
                  </w:r>
                </w:p>
              </w:tc>
              <w:tc>
                <w:tcPr>
                  <w:tcW w:w="729" w:type="dxa"/>
                  <w:tcBorders>
                    <w:top w:val="single" w:sz="4" w:space="0" w:color="auto"/>
                    <w:left w:val="double" w:sz="4" w:space="0" w:color="auto"/>
                    <w:bottom w:val="double" w:sz="4" w:space="0" w:color="auto"/>
                    <w:right w:val="single" w:sz="4" w:space="0" w:color="auto"/>
                  </w:tcBorders>
                  <w:vAlign w:val="center"/>
                  <w:hideMark/>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r w:rsidRPr="006655AE">
                    <w:rPr>
                      <w:rFonts w:ascii="新細明體" w:eastAsia="新細明體" w:hAnsi="新細明體" w:hint="eastAsia"/>
                      <w:sz w:val="22"/>
                      <w:szCs w:val="22"/>
                    </w:rPr>
                    <w:t>姓名</w:t>
                  </w:r>
                </w:p>
              </w:tc>
              <w:tc>
                <w:tcPr>
                  <w:tcW w:w="2438" w:type="dxa"/>
                  <w:gridSpan w:val="3"/>
                  <w:tcBorders>
                    <w:top w:val="single" w:sz="4" w:space="0" w:color="auto"/>
                    <w:left w:val="single" w:sz="4" w:space="0" w:color="auto"/>
                    <w:bottom w:val="double" w:sz="4" w:space="0" w:color="auto"/>
                    <w:right w:val="single" w:sz="4" w:space="0" w:color="auto"/>
                  </w:tcBorders>
                  <w:vAlign w:val="center"/>
                </w:tcPr>
                <w:p w:rsidR="006655AE" w:rsidRPr="006655AE" w:rsidRDefault="006655AE" w:rsidP="006655AE">
                  <w:pPr>
                    <w:tabs>
                      <w:tab w:val="center" w:pos="4153"/>
                      <w:tab w:val="right" w:pos="8306"/>
                    </w:tabs>
                    <w:snapToGrid w:val="0"/>
                    <w:jc w:val="center"/>
                    <w:rPr>
                      <w:rFonts w:ascii="新細明體" w:eastAsia="新細明體" w:hAnsi="新細明體"/>
                      <w:sz w:val="22"/>
                      <w:szCs w:val="22"/>
                    </w:rPr>
                  </w:pPr>
                </w:p>
              </w:tc>
              <w:tc>
                <w:tcPr>
                  <w:tcW w:w="1735" w:type="dxa"/>
                  <w:tcBorders>
                    <w:top w:val="single" w:sz="4" w:space="0" w:color="auto"/>
                    <w:left w:val="single" w:sz="4" w:space="0" w:color="auto"/>
                    <w:bottom w:val="double" w:sz="4" w:space="0" w:color="auto"/>
                    <w:right w:val="double" w:sz="4" w:space="0" w:color="auto"/>
                  </w:tcBorders>
                  <w:hideMark/>
                </w:tcPr>
                <w:p w:rsidR="006655AE" w:rsidRPr="006655AE" w:rsidRDefault="006655AE" w:rsidP="006655AE">
                  <w:pPr>
                    <w:tabs>
                      <w:tab w:val="center" w:pos="4153"/>
                      <w:tab w:val="right" w:pos="8306"/>
                    </w:tabs>
                    <w:snapToGrid w:val="0"/>
                    <w:jc w:val="center"/>
                    <w:rPr>
                      <w:rFonts w:ascii="新細明體" w:eastAsia="新細明體" w:hAnsi="新細明體"/>
                      <w:color w:val="FF0000"/>
                      <w:sz w:val="22"/>
                      <w:szCs w:val="22"/>
                    </w:rPr>
                  </w:pPr>
                  <w:r w:rsidRPr="006655AE">
                    <w:rPr>
                      <w:rFonts w:ascii="新細明體" w:eastAsia="新細明體" w:hAnsi="新細明體" w:hint="eastAsia"/>
                      <w:color w:val="FF0000"/>
                      <w:sz w:val="22"/>
                      <w:szCs w:val="22"/>
                    </w:rPr>
                    <w:t>(是)</w:t>
                  </w:r>
                </w:p>
              </w:tc>
            </w:tr>
          </w:tbl>
          <w:p w:rsidR="005B490F" w:rsidRDefault="005B490F">
            <w:pPr>
              <w:widowControl/>
              <w:rPr>
                <w:rFonts w:ascii="新細明體" w:eastAsia="新細明體" w:hAnsi="新細明體" w:cs="新細明體"/>
                <w:kern w:val="0"/>
              </w:rPr>
            </w:pPr>
          </w:p>
        </w:tc>
        <w:tc>
          <w:tcPr>
            <w:tcW w:w="0" w:type="auto"/>
            <w:vAlign w:val="center"/>
          </w:tcPr>
          <w:p w:rsidR="005B490F" w:rsidRDefault="005B490F">
            <w:pPr>
              <w:widowControl/>
              <w:jc w:val="center"/>
              <w:rPr>
                <w:rFonts w:ascii="新細明體" w:eastAsia="新細明體" w:hAnsi="新細明體" w:cs="新細明體"/>
                <w:kern w:val="0"/>
              </w:rPr>
            </w:pPr>
          </w:p>
        </w:tc>
        <w:tc>
          <w:tcPr>
            <w:tcW w:w="2250" w:type="dxa"/>
            <w:vAlign w:val="center"/>
          </w:tcPr>
          <w:p w:rsidR="005B490F" w:rsidRDefault="005B490F">
            <w:pPr>
              <w:widowControl/>
              <w:rPr>
                <w:rFonts w:ascii="新細明體" w:eastAsia="新細明體" w:hAnsi="新細明體" w:cs="新細明體"/>
                <w:kern w:val="0"/>
              </w:rPr>
            </w:pPr>
          </w:p>
        </w:tc>
      </w:tr>
    </w:tbl>
    <w:p w:rsidR="005B490F" w:rsidRDefault="00422871">
      <w:pPr>
        <w:widowControl/>
        <w:rPr>
          <w:rFonts w:ascii="新細明體" w:eastAsia="新細明體" w:hAnsi="新細明體" w:cs="新細明體"/>
          <w:kern w:val="0"/>
        </w:rPr>
      </w:pPr>
      <w:r>
        <w:rPr>
          <w:rFonts w:ascii="新細明體" w:eastAsia="新細明體" w:hAnsi="新細明體" w:cs="新細明體" w:hint="eastAsia"/>
          <w:kern w:val="0"/>
        </w:rPr>
        <w:t>選擇</w:t>
      </w:r>
      <w:r w:rsidR="00A27640">
        <w:rPr>
          <w:rFonts w:ascii="新細明體" w:eastAsia="新細明體" w:hAnsi="新細明體" w:cs="新細明體" w:hint="eastAsia"/>
          <w:kern w:val="0"/>
        </w:rPr>
        <w:t>40</w:t>
      </w:r>
      <w:r>
        <w:rPr>
          <w:rFonts w:ascii="新細明體" w:eastAsia="新細明體" w:hAnsi="新細明體" w:cs="新細明體" w:hint="eastAsia"/>
          <w:kern w:val="0"/>
        </w:rPr>
        <w:t xml:space="preserve">題 </w:t>
      </w:r>
      <w:r w:rsidR="00A27640">
        <w:rPr>
          <w:rFonts w:ascii="新細明體" w:eastAsia="新細明體" w:hAnsi="新細明體" w:cs="新細明體" w:hint="eastAsia"/>
          <w:kern w:val="0"/>
        </w:rPr>
        <w:t>每題2.5分，共</w:t>
      </w:r>
      <w:r>
        <w:rPr>
          <w:rFonts w:ascii="新細明體" w:eastAsia="新細明體" w:hAnsi="新細明體" w:cs="新細明體" w:hint="eastAsia"/>
          <w:kern w:val="0"/>
        </w:rPr>
        <w:t>100分</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所謂商業經營的「標的物」，就廣義而言，指的是：</w:t>
      </w:r>
      <w:r>
        <w:t>(A)</w:t>
      </w:r>
      <w:r>
        <w:t>商譽</w:t>
      </w:r>
      <w:r>
        <w:t xml:space="preserve"> (B)</w:t>
      </w:r>
      <w:r>
        <w:t>商人</w:t>
      </w:r>
      <w:r>
        <w:t xml:space="preserve"> (C)</w:t>
      </w:r>
      <w:r>
        <w:t>商業組織</w:t>
      </w:r>
      <w:r>
        <w:t xml:space="preserve"> (D)</w:t>
      </w:r>
      <w:r>
        <w:t>有形或無形的商品</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請判斷下列行為是否符合商業活動？若不屬於商業活動，是因為缺乏哪項成立要件？頌伊到肯德基購買「炸雞套餐」，上述行為</w:t>
      </w:r>
      <w:r>
        <w:t>(A)</w:t>
      </w:r>
      <w:r>
        <w:t>屬於商業活動，因為發生交易行為</w:t>
      </w:r>
      <w:r>
        <w:t xml:space="preserve"> (B)</w:t>
      </w:r>
      <w:r>
        <w:t>不屬於商業活動，因為不是出於自願</w:t>
      </w:r>
      <w:r>
        <w:t xml:space="preserve"> (C)</w:t>
      </w:r>
      <w:r>
        <w:t>不屬於商業活動，因為雙方未發生交易行為</w:t>
      </w:r>
      <w:r>
        <w:t xml:space="preserve"> (D)</w:t>
      </w:r>
      <w:r>
        <w:t>不屬於商業活動，因為不合法</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台北佳德糕餅店將鳳梨予以加工，製成原味鳳梨酥、蔓越莓鳳梨酥、胚芽核桃鳳梨酥等產品，請問上述該店的生產活動，是屬於何種生產？</w:t>
      </w:r>
      <w:r>
        <w:t>(A)</w:t>
      </w:r>
      <w:r>
        <w:t>原始生產</w:t>
      </w:r>
      <w:r>
        <w:t xml:space="preserve"> (B)</w:t>
      </w:r>
      <w:r>
        <w:t>形式生產</w:t>
      </w:r>
      <w:r>
        <w:t xml:space="preserve"> (C)</w:t>
      </w:r>
      <w:r>
        <w:t>效用生產</w:t>
      </w:r>
      <w:r>
        <w:t xml:space="preserve"> (D)</w:t>
      </w:r>
      <w:r>
        <w:t>勞務生產</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台鐵之所以屬於公營事業，是因為政府對於該公司的持股比率超過百分之多少？</w:t>
      </w:r>
      <w:r>
        <w:t xml:space="preserve">(A)100% (B)75% (C)50% (D)25% </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商業對個人的重要性，下列敘述何者不正確？</w:t>
      </w:r>
      <w:r>
        <w:br/>
        <w:t>(A)</w:t>
      </w:r>
      <w:r>
        <w:t>可以滿足個人的慾望</w:t>
      </w:r>
      <w:r>
        <w:t xml:space="preserve"> (B)</w:t>
      </w:r>
      <w:r>
        <w:t>能增加消費選擇的機會</w:t>
      </w:r>
      <w:r>
        <w:t xml:space="preserve"> (C)</w:t>
      </w:r>
      <w:r>
        <w:t>可增加個人所得的來源</w:t>
      </w:r>
      <w:r>
        <w:t xml:space="preserve"> (D)</w:t>
      </w:r>
      <w:r>
        <w:t>可促進世界文化交流</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企業在廠房增設污染防治的設備，是在履行下列何種社會責任？</w:t>
      </w:r>
      <w:r>
        <w:br/>
        <w:t>(A)</w:t>
      </w:r>
      <w:r>
        <w:t>推動產業發展</w:t>
      </w:r>
      <w:r>
        <w:t xml:space="preserve"> (B)</w:t>
      </w:r>
      <w:r>
        <w:t>環境保護</w:t>
      </w:r>
      <w:r>
        <w:t xml:space="preserve"> (C)</w:t>
      </w:r>
      <w:r>
        <w:t>贊助公益活動</w:t>
      </w:r>
      <w:r>
        <w:t xml:space="preserve"> (D)</w:t>
      </w:r>
      <w:r>
        <w:t>賺取利潤</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2015</w:t>
      </w:r>
      <w:r>
        <w:t>年，電子商務集團阿里巴巴公司發放的年終獎金最高達到</w:t>
      </w:r>
      <w:r>
        <w:t>100</w:t>
      </w:r>
      <w:r>
        <w:t>個月，羨煞不少上班族。上述情形中，該公司善盡了</w:t>
      </w:r>
      <w:r>
        <w:t>(A)</w:t>
      </w:r>
      <w:r>
        <w:t>經濟責任</w:t>
      </w:r>
      <w:r>
        <w:t xml:space="preserve"> (B)</w:t>
      </w:r>
      <w:r>
        <w:t>法律責任</w:t>
      </w:r>
      <w:r>
        <w:t xml:space="preserve"> (C)</w:t>
      </w:r>
      <w:r>
        <w:t>倫理責任</w:t>
      </w:r>
      <w:r>
        <w:t xml:space="preserve"> (D)</w:t>
      </w:r>
      <w:r>
        <w:t>自由裁量責任</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下列哪一項不是經營網路拍賣平台的主要收入來源？</w:t>
      </w:r>
      <w:r>
        <w:br/>
        <w:t>(A)</w:t>
      </w:r>
      <w:r>
        <w:t>刊登買賣物件的刊登費用</w:t>
      </w:r>
      <w:r>
        <w:t xml:space="preserve"> (B)</w:t>
      </w:r>
      <w:r>
        <w:t>網路賣方所支付的廣告費</w:t>
      </w:r>
      <w:r>
        <w:t xml:space="preserve"> (C)</w:t>
      </w:r>
      <w:r>
        <w:t>成交之後的手續費</w:t>
      </w:r>
      <w:r>
        <w:t xml:space="preserve"> (D)</w:t>
      </w:r>
      <w:r>
        <w:t>銷售商品的銷貨收入</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近年來網路創業的熱潮盛行，創業者紛紛利用電子商務平台服務的網站建立自己的網路商店，試問這些網路商店主要的獲利來源為何？</w:t>
      </w:r>
      <w:r>
        <w:t>(A)</w:t>
      </w:r>
      <w:r>
        <w:t>商品銷貨收入</w:t>
      </w:r>
      <w:r>
        <w:t xml:space="preserve"> (B)</w:t>
      </w:r>
      <w:r>
        <w:t>刊登拍賣物件的刊登費</w:t>
      </w:r>
      <w:r>
        <w:t xml:space="preserve"> (C)</w:t>
      </w:r>
      <w:r>
        <w:t>網路廣告收入</w:t>
      </w:r>
      <w:r>
        <w:t xml:space="preserve"> (D)</w:t>
      </w:r>
      <w:r>
        <w:t>拍賣成交之後的手續費</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某手機製造商未察覺手機消費市場已從「傳統手機」轉變為「智慧型手機」，而錯估了情況，仍以「傳統手機」為推展重點，因而面臨嚴重的風險。上述情形中，該公司所面臨的風險是屬於</w:t>
      </w:r>
      <w:r>
        <w:br/>
        <w:t>(A)</w:t>
      </w:r>
      <w:r>
        <w:t>災害風險</w:t>
      </w:r>
      <w:r>
        <w:t xml:space="preserve"> (B)</w:t>
      </w:r>
      <w:r>
        <w:t>合夥風險</w:t>
      </w:r>
      <w:r>
        <w:t xml:space="preserve"> (C)</w:t>
      </w:r>
      <w:r>
        <w:t>資金風險</w:t>
      </w:r>
      <w:r>
        <w:t xml:space="preserve"> (D)</w:t>
      </w:r>
      <w:r>
        <w:t>市場風險</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「網路廣告費」並不是下列何種網路開業方式的主要獲利來源？</w:t>
      </w:r>
      <w:r>
        <w:br/>
        <w:t>(A)</w:t>
      </w:r>
      <w:r>
        <w:t>經營入口網站</w:t>
      </w:r>
      <w:r>
        <w:t xml:space="preserve"> (B)</w:t>
      </w:r>
      <w:r>
        <w:t>經營社群網站</w:t>
      </w:r>
      <w:r>
        <w:t xml:space="preserve"> (C)</w:t>
      </w:r>
      <w:r>
        <w:t>經營網路拍賣平台</w:t>
      </w:r>
      <w:r>
        <w:t xml:space="preserve"> (D)</w:t>
      </w:r>
      <w:r>
        <w:t>開設網路商店</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阿華在家創業製作手工蛋糕，並透過網路接單銷售。請問有關阿華的創業模式，下列敘述何者較不正確？</w:t>
      </w:r>
      <w:r>
        <w:t>(A)</w:t>
      </w:r>
      <w:r>
        <w:t>阿華可以透過架設網站來行銷並銷售手工蛋糕</w:t>
      </w:r>
      <w:r>
        <w:t xml:space="preserve"> (B)</w:t>
      </w:r>
      <w:r>
        <w:t>阿華的創業模式可節省開設實體商店所需的經營成本</w:t>
      </w:r>
      <w:r>
        <w:t xml:space="preserve"> (C)</w:t>
      </w:r>
      <w:r>
        <w:t>阿華的創業模式，主要獲利來源是銷售手工蛋糕的收入</w:t>
      </w:r>
      <w:r>
        <w:t xml:space="preserve"> (D)</w:t>
      </w:r>
      <w:r>
        <w:t>阿華透過自己接單、自己生產、自己銷售，不會面臨經營風險</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下列敘述何者錯誤？</w:t>
      </w:r>
      <w:r>
        <w:t>(A)</w:t>
      </w:r>
      <w:r>
        <w:t>部落格又稱為網誌，常見的部落格有痞客邦</w:t>
      </w:r>
      <w:r>
        <w:t xml:space="preserve"> (B)</w:t>
      </w:r>
      <w:r>
        <w:t>社群網站具有發表心得、照片及關注朋友動態等功能</w:t>
      </w:r>
      <w:r>
        <w:t xml:space="preserve"> (C)</w:t>
      </w:r>
      <w:r>
        <w:t>常見的網路拍賣平台有</w:t>
      </w:r>
      <w:r>
        <w:t>eBAY</w:t>
      </w:r>
      <w:r>
        <w:t>、露天拍賣等</w:t>
      </w:r>
      <w:r>
        <w:t xml:space="preserve"> (D)Facebook</w:t>
      </w:r>
      <w:r>
        <w:t>屬於入口網站</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依林和傑倫合夥開設了一家指甲彩繪工作室，剛開幕時因媒體大幅報導門庭若市，後來受到景氣不佳的影響，上門的消費者愈來愈少，出現了財務困窘的情況。兩人因而經常爭吵，最後因意見不合而分道揚鑣，工作室隨之歇業。工作室入不敷出財務出現困難，這是該工作室面臨的哪一種風險？</w:t>
      </w:r>
      <w:r>
        <w:br/>
        <w:t>(A)</w:t>
      </w:r>
      <w:r>
        <w:t>市場風險</w:t>
      </w:r>
      <w:r>
        <w:t xml:space="preserve"> (B)</w:t>
      </w:r>
      <w:r>
        <w:t>法律風險</w:t>
      </w:r>
      <w:r>
        <w:t xml:space="preserve"> (C)</w:t>
      </w:r>
      <w:r>
        <w:t>財務風險</w:t>
      </w:r>
      <w:r>
        <w:t xml:space="preserve"> (D)</w:t>
      </w:r>
      <w:r>
        <w:t>合夥風險</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以下何者是指「透過事先的安排，以便在風險發生造成損失後，能取得資金用來支付損失」？</w:t>
      </w:r>
      <w:r>
        <w:br/>
        <w:t>(A)</w:t>
      </w:r>
      <w:r>
        <w:t>風險移轉</w:t>
      </w:r>
      <w:r>
        <w:t xml:space="preserve"> (B)</w:t>
      </w:r>
      <w:r>
        <w:t>風險融資</w:t>
      </w:r>
      <w:r>
        <w:t xml:space="preserve"> (C)</w:t>
      </w:r>
      <w:r>
        <w:t>風險處理</w:t>
      </w:r>
      <w:r>
        <w:t xml:space="preserve"> (D)</w:t>
      </w:r>
      <w:r>
        <w:t>風險轉嫁</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目前我國保險業的中央主管機關為</w:t>
      </w:r>
      <w:r>
        <w:t>(A)</w:t>
      </w:r>
      <w:r>
        <w:t>財政部</w:t>
      </w:r>
      <w:r>
        <w:t xml:space="preserve"> (B)</w:t>
      </w:r>
      <w:r>
        <w:t>經濟部商業司</w:t>
      </w:r>
      <w:r>
        <w:t xml:space="preserve"> (C)</w:t>
      </w:r>
      <w:r>
        <w:t>內政部民政局</w:t>
      </w:r>
      <w:r>
        <w:t xml:space="preserve"> (D)</w:t>
      </w:r>
      <w:r>
        <w:t>行政院金融監督管理委員會</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希齊企業的內部資訊管理能力不佳，電腦設備經常中毒，該企業應將此種狀況列為</w:t>
      </w:r>
      <w:r>
        <w:t>SWOT</w:t>
      </w:r>
      <w:r>
        <w:t>分析的哪一項？</w:t>
      </w:r>
      <w:r>
        <w:br/>
        <w:t>(A)</w:t>
      </w:r>
      <w:r>
        <w:t>優勢</w:t>
      </w:r>
      <w:r>
        <w:t xml:space="preserve"> (B)</w:t>
      </w:r>
      <w:r>
        <w:t>劣勢</w:t>
      </w:r>
      <w:r>
        <w:t xml:space="preserve"> (C)</w:t>
      </w:r>
      <w:r>
        <w:t>機會</w:t>
      </w:r>
      <w:r>
        <w:t xml:space="preserve"> (D)</w:t>
      </w:r>
      <w:r>
        <w:t>威脅</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企業若內部擁有優勢，但卻面臨外部嚴峻的威脅時，可採取以下何種營運策略來因應？</w:t>
      </w:r>
      <w:r>
        <w:br/>
        <w:t>(A)</w:t>
      </w:r>
      <w:r>
        <w:t>增長性策略</w:t>
      </w:r>
      <w:r>
        <w:t xml:space="preserve"> (B)</w:t>
      </w:r>
      <w:r>
        <w:t>扭轉性策略</w:t>
      </w:r>
      <w:r>
        <w:t xml:space="preserve"> (C)</w:t>
      </w:r>
      <w:r>
        <w:t>多元化策略</w:t>
      </w:r>
      <w:r>
        <w:t xml:space="preserve"> (D)</w:t>
      </w:r>
      <w:r>
        <w:t>防禦性策略</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勞動部舉辦「門市服務」丙級技能檢定，主要是為了</w:t>
      </w:r>
      <w:r>
        <w:br/>
        <w:t>(A)</w:t>
      </w:r>
      <w:r>
        <w:t>落實消費者權益之保護</w:t>
      </w:r>
      <w:r>
        <w:t xml:space="preserve"> (B)</w:t>
      </w:r>
      <w:r>
        <w:t>提升商業服務品質</w:t>
      </w:r>
      <w:r>
        <w:t xml:space="preserve"> (C)</w:t>
      </w:r>
      <w:r>
        <w:t>維護商業秩序</w:t>
      </w:r>
      <w:r>
        <w:t xml:space="preserve"> (D)</w:t>
      </w:r>
      <w:r>
        <w:t>擴大經營空間</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杰倫將愛車停放在百貨公司的停車場，他發現該百貨公司的停車單註明：「本停車場僅提供車輛暫時停放之用，不負保管責任。」該百貨公司的停車單是屬於</w:t>
      </w:r>
      <w:r>
        <w:t>(A)</w:t>
      </w:r>
      <w:r>
        <w:t>定型化契約</w:t>
      </w:r>
      <w:r>
        <w:t xml:space="preserve"> (B)</w:t>
      </w:r>
      <w:r>
        <w:t>勞動契約</w:t>
      </w:r>
      <w:r>
        <w:t xml:space="preserve"> (C)</w:t>
      </w:r>
      <w:r>
        <w:t>買賣契約</w:t>
      </w:r>
      <w:r>
        <w:t xml:space="preserve"> (D)</w:t>
      </w:r>
      <w:r>
        <w:t>租賃契約</w:t>
      </w:r>
    </w:p>
    <w:p w:rsidR="005B490F" w:rsidRDefault="00422871" w:rsidP="006655AE">
      <w:pPr>
        <w:pStyle w:val="ODP"/>
        <w:numPr>
          <w:ilvl w:val="0"/>
          <w:numId w:val="2"/>
        </w:numPr>
        <w:spacing w:after="144"/>
        <w:ind w:left="1190" w:hanging="1190"/>
        <w:textAlignment w:val="center"/>
      </w:pPr>
      <w:r>
        <w:lastRenderedPageBreak/>
        <w:t xml:space="preserve">( </w:t>
      </w:r>
      <w:r>
        <w:rPr>
          <w:rStyle w:val="ans1"/>
        </w:rPr>
        <w:t> </w:t>
      </w:r>
      <w:r>
        <w:t xml:space="preserve"> ) </w:t>
      </w:r>
      <w:r>
        <w:t>下列有關商品條碼的敘述，何者錯誤？</w:t>
      </w:r>
      <w:r>
        <w:br/>
        <w:t>(A)</w:t>
      </w:r>
      <w:r>
        <w:t>二維條碼比一維條碼所儲存的資料較多，但安全性較低</w:t>
      </w:r>
      <w:r>
        <w:t xml:space="preserve"> (B)</w:t>
      </w:r>
      <w:r>
        <w:t>我國的</w:t>
      </w:r>
      <w:r>
        <w:t>EAN</w:t>
      </w:r>
      <w:r>
        <w:t>碼之國家代碼為</w:t>
      </w:r>
      <w:r>
        <w:t>471 (C)</w:t>
      </w:r>
      <w:r>
        <w:t xml:space="preserve">商品在生產階段就印在包裝上的條碼為原印條碼　</w:t>
      </w:r>
      <w:r>
        <w:t xml:space="preserve"> (D)</w:t>
      </w:r>
      <w:r>
        <w:t>店內條碼僅供店內使用，無法對外流通。</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通常需要賣家提供更多資訊及售後服務的特殊產品會選擇何種商流類型？</w:t>
      </w:r>
      <w:r>
        <w:br/>
        <w:t>(A)</w:t>
      </w:r>
      <w:r>
        <w:t>開放型商流</w:t>
      </w:r>
      <w:r>
        <w:t xml:space="preserve"> (B)</w:t>
      </w:r>
      <w:r>
        <w:t>便利商店商流</w:t>
      </w:r>
      <w:r>
        <w:t xml:space="preserve"> (C)</w:t>
      </w:r>
      <w:r>
        <w:t>製造商商流</w:t>
      </w:r>
      <w:r>
        <w:t xml:space="preserve"> (D)</w:t>
      </w:r>
      <w:r>
        <w:t>選擇型商流</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商品藉由交易活動而產生之所有權流通，稱為：</w:t>
      </w:r>
      <w:r>
        <w:t>(A)</w:t>
      </w:r>
      <w:r>
        <w:t>商流</w:t>
      </w:r>
      <w:r>
        <w:t xml:space="preserve"> (B)</w:t>
      </w:r>
      <w:r>
        <w:t>物流</w:t>
      </w:r>
      <w:r>
        <w:t xml:space="preserve"> (C)</w:t>
      </w:r>
      <w:r>
        <w:t>金流</w:t>
      </w:r>
      <w:r>
        <w:t xml:space="preserve"> (D)</w:t>
      </w:r>
      <w:r>
        <w:t>資訊流</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下列有關商業型態的敘述，何者正確？</w:t>
      </w:r>
      <w:r>
        <w:t>(A)</w:t>
      </w:r>
      <w:r>
        <w:t>便利商店是屬於業態店</w:t>
      </w:r>
      <w:r>
        <w:t xml:space="preserve"> (B)</w:t>
      </w:r>
      <w:r>
        <w:t>業態店是以商品種類來區分行業</w:t>
      </w:r>
      <w:r>
        <w:t xml:space="preserve"> (C)</w:t>
      </w:r>
      <w:r>
        <w:t>文具店是屬於業態店</w:t>
      </w:r>
      <w:r>
        <w:t xml:space="preserve"> (D)</w:t>
      </w:r>
      <w:r>
        <w:t>業種店是以經營型態來區分行業</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由於智慧型手機的出現，現在民眾不管在家裡或在外面，都可以隨時上網購物，或下載</w:t>
      </w:r>
      <w:r>
        <w:t>APP</w:t>
      </w:r>
      <w:r>
        <w:t>購買玩遊戲所需的資源；請問此種商業經營型態興起的主要原因為何？</w:t>
      </w:r>
      <w:r>
        <w:t>(A)</w:t>
      </w:r>
      <w:r>
        <w:t>業態細分化</w:t>
      </w:r>
      <w:r>
        <w:t xml:space="preserve"> (B)</w:t>
      </w:r>
      <w:r>
        <w:t>交通方式的改變</w:t>
      </w:r>
      <w:r>
        <w:t xml:space="preserve"> (C)</w:t>
      </w:r>
      <w:r>
        <w:t>製造商的需要</w:t>
      </w:r>
      <w:r>
        <w:t xml:space="preserve"> (D)</w:t>
      </w:r>
      <w:r>
        <w:t>技術的創新</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關於業種店與業態店的敘述，下列何者正確？</w:t>
      </w:r>
      <w:r>
        <w:t>(A)</w:t>
      </w:r>
      <w:r>
        <w:t>業種店以滿足顧客需求為出發點</w:t>
      </w:r>
      <w:r>
        <w:t xml:space="preserve"> (B)</w:t>
      </w:r>
      <w:r>
        <w:t>以商業整體發展歷程來看，先有業態店、後有業種店</w:t>
      </w:r>
      <w:r>
        <w:t xml:space="preserve"> (C)</w:t>
      </w:r>
      <w:r>
        <w:t>業態店以替顧客採購商品的角色自居</w:t>
      </w:r>
      <w:r>
        <w:t xml:space="preserve"> (D)</w:t>
      </w:r>
      <w:r>
        <w:t>業種店著重於行銷面的專業知識</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單由店名或店面招牌就可以判斷該店所販售的主要商品種類，如麵包店，此為</w:t>
      </w:r>
      <w:r>
        <w:br/>
        <w:t>(A)</w:t>
      </w:r>
      <w:r>
        <w:t>業態的劃分方式</w:t>
      </w:r>
      <w:r>
        <w:t xml:space="preserve"> (B)</w:t>
      </w:r>
      <w:r>
        <w:t>業種的劃分方式</w:t>
      </w:r>
      <w:r>
        <w:t xml:space="preserve"> (C)</w:t>
      </w:r>
      <w:r>
        <w:t>流通的劃分方式</w:t>
      </w:r>
      <w:r>
        <w:t xml:space="preserve"> (D)</w:t>
      </w:r>
      <w:r>
        <w:t>商圈的劃分方式</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櫻花熱水器首創「永久免費安全檢查」，消費者只要購買熱水器，就可享受後續的熱水器安全檢查。請問上述為零售商的何種功能？</w:t>
      </w:r>
      <w:r>
        <w:t>(A)</w:t>
      </w:r>
      <w:r>
        <w:t>商品配銷</w:t>
      </w:r>
      <w:r>
        <w:t xml:space="preserve"> (B)</w:t>
      </w:r>
      <w:r>
        <w:t>提供市場情報</w:t>
      </w:r>
      <w:r>
        <w:t xml:space="preserve"> (C)</w:t>
      </w:r>
      <w:r>
        <w:t>提供舒適購物空間</w:t>
      </w:r>
      <w:r>
        <w:t xml:space="preserve"> (D)</w:t>
      </w:r>
      <w:r>
        <w:t>提供售後服務</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大江購物中心擁有多家主力商店，其中誠品書局鎖定上班族與年輕族群，家樂福鎖定家庭主婦，星橋電影院則鎖定全客層。購物中心設置主力商店的主要目的為何？</w:t>
      </w:r>
      <w:r>
        <w:br/>
        <w:t>(A)</w:t>
      </w:r>
      <w:r>
        <w:t>發揮集客力</w:t>
      </w:r>
      <w:r>
        <w:t xml:space="preserve"> (B)</w:t>
      </w:r>
      <w:r>
        <w:t>降低人事成本</w:t>
      </w:r>
      <w:r>
        <w:t xml:space="preserve"> (C)</w:t>
      </w:r>
      <w:r>
        <w:t>吸引高消費族群</w:t>
      </w:r>
      <w:r>
        <w:t xml:space="preserve"> (D)</w:t>
      </w:r>
      <w:r>
        <w:t>統一管理</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百貨公司積極開發持卡客層，讓卡友享有特殊優惠的理由，不包括下列哪一點？</w:t>
      </w:r>
      <w:r>
        <w:br/>
        <w:t>(A)</w:t>
      </w:r>
      <w:r>
        <w:t>刺激消費者的購買慾望</w:t>
      </w:r>
      <w:r>
        <w:t xml:space="preserve"> (B)</w:t>
      </w:r>
      <w:r>
        <w:t>掌握顧客的資料</w:t>
      </w:r>
      <w:r>
        <w:t xml:space="preserve"> (C)</w:t>
      </w:r>
      <w:r>
        <w:t>了解顧客消費型態，即時推出相關商品</w:t>
      </w:r>
      <w:r>
        <w:t xml:space="preserve"> (D)</w:t>
      </w:r>
      <w:r>
        <w:t>銷售消費者個人資料</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w:t>
      </w:r>
      <w:r>
        <w:t>PChome</w:t>
      </w:r>
      <w:r>
        <w:t>線上購物」網站銷售上萬種商品，由於網上售價經常比實體店舖售價便宜、具時效性，因此吸引許多消費者上網購買。不管是日本的「薯條三兄弟」餅乾或是比利時的「</w:t>
      </w:r>
      <w:r>
        <w:t>GODIVA</w:t>
      </w:r>
      <w:r>
        <w:t>」巧克力，消費者都可透過「</w:t>
      </w:r>
      <w:r>
        <w:t>PChome</w:t>
      </w:r>
      <w:r>
        <w:t>線上購物」買得到；以上敘述顯示出網路購物的哪一項特徵？</w:t>
      </w:r>
      <w:r>
        <w:br/>
        <w:t>(A)</w:t>
      </w:r>
      <w:r>
        <w:t>消費者有高度的決策自主權</w:t>
      </w:r>
      <w:r>
        <w:t xml:space="preserve"> (B)</w:t>
      </w:r>
      <w:r>
        <w:t>打破地域障礙</w:t>
      </w:r>
      <w:r>
        <w:t xml:space="preserve"> (C)</w:t>
      </w:r>
      <w:r>
        <w:t>全天候的服務</w:t>
      </w:r>
      <w:r>
        <w:t xml:space="preserve"> (D)</w:t>
      </w:r>
      <w:r>
        <w:t>商品展示空間可無限延伸</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以暴利為誘餌吸納新人加入組織，下線會員之擴張如同老鼠繁殖般迅速的「老鼠會」，是下列哪一種零售型態變質而生？</w:t>
      </w:r>
      <w:r>
        <w:t>(A)</w:t>
      </w:r>
      <w:r>
        <w:t>網路購物</w:t>
      </w:r>
      <w:r>
        <w:t xml:space="preserve"> (B)</w:t>
      </w:r>
      <w:r>
        <w:t>多層次傳銷</w:t>
      </w:r>
      <w:r>
        <w:t xml:space="preserve"> (C)</w:t>
      </w:r>
      <w:r>
        <w:t>超級市場</w:t>
      </w:r>
      <w:r>
        <w:t xml:space="preserve"> (D)</w:t>
      </w:r>
      <w:r>
        <w:t>型錄商店</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許多電視購物專家憑著舌燦蓮花的銷售技巧，創造出多項驚人銷售業績。試問電視購物是屬於哪一種無店舖零售型態？</w:t>
      </w:r>
      <w:r>
        <w:t>(A)</w:t>
      </w:r>
      <w:r>
        <w:t>人員銷售</w:t>
      </w:r>
      <w:r>
        <w:t xml:space="preserve"> (B)</w:t>
      </w:r>
      <w:r>
        <w:t>直效行銷</w:t>
      </w:r>
      <w:r>
        <w:t xml:space="preserve"> (C)</w:t>
      </w:r>
      <w:r>
        <w:t>自動販賣</w:t>
      </w:r>
      <w:r>
        <w:t xml:space="preserve"> (D)</w:t>
      </w:r>
      <w:r>
        <w:t>直銷</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下列何者不是網路購物的特徵？</w:t>
      </w:r>
      <w:r>
        <w:br/>
        <w:t>(A)</w:t>
      </w:r>
      <w:r>
        <w:t>商品的展示空間較不受限制</w:t>
      </w:r>
      <w:r>
        <w:t xml:space="preserve"> (B)</w:t>
      </w:r>
      <w:r>
        <w:t>存在地域障礙</w:t>
      </w:r>
      <w:r>
        <w:t xml:space="preserve"> (C)</w:t>
      </w:r>
      <w:r>
        <w:t>全天候服務</w:t>
      </w:r>
      <w:r>
        <w:t xml:space="preserve"> (D)</w:t>
      </w:r>
      <w:r>
        <w:t>消費者具有高度的決策自主權</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下列哪一項是大型折扣商店的特徵？</w:t>
      </w:r>
      <w:r>
        <w:br/>
        <w:t>(A)</w:t>
      </w:r>
      <w:r>
        <w:t>小量進貨</w:t>
      </w:r>
      <w:r>
        <w:t xml:space="preserve"> (B)</w:t>
      </w:r>
      <w:r>
        <w:t>提供較劣等品質商品</w:t>
      </w:r>
      <w:r>
        <w:t xml:space="preserve"> (C)</w:t>
      </w:r>
      <w:r>
        <w:t>販售的商品種類少</w:t>
      </w:r>
      <w:r>
        <w:t xml:space="preserve"> (D)</w:t>
      </w:r>
      <w:r>
        <w:t>顧客多採自助方式選購</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有慧趁暑假到生鮮處理中心打工，她的工作內容是把肉品做鹽水的防腐處理。試問有慧的工作屬於下列哪一項？</w:t>
      </w:r>
      <w:r>
        <w:br/>
        <w:t>(A)</w:t>
      </w:r>
      <w:r>
        <w:t>包裝</w:t>
      </w:r>
      <w:r>
        <w:t xml:space="preserve"> (B)</w:t>
      </w:r>
      <w:r>
        <w:t>加工</w:t>
      </w:r>
      <w:r>
        <w:t xml:space="preserve"> (C)</w:t>
      </w:r>
      <w:r>
        <w:t>集貨</w:t>
      </w:r>
      <w:r>
        <w:t xml:space="preserve"> (D)</w:t>
      </w:r>
      <w:r>
        <w:t>分級</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面臨新興業態的威脅，下列何者不是傳統商店的因應之道？</w:t>
      </w:r>
      <w:r>
        <w:t>(A)</w:t>
      </w:r>
      <w:r>
        <w:t>改善店內購物環境</w:t>
      </w:r>
      <w:r>
        <w:t xml:space="preserve"> (B)</w:t>
      </w:r>
      <w:r>
        <w:t>開源節流，將促銷活動的經費節省下來</w:t>
      </w:r>
      <w:r>
        <w:t xml:space="preserve"> (C)</w:t>
      </w:r>
      <w:r>
        <w:t>成立聯合採購中心，降低進貨成本</w:t>
      </w:r>
      <w:r>
        <w:t xml:space="preserve"> (D)</w:t>
      </w:r>
      <w:r>
        <w:t>以少量多樣方式進貨</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下列何者不是直營連鎖企業的經營本質？</w:t>
      </w:r>
      <w:r>
        <w:br/>
        <w:t>(A)</w:t>
      </w:r>
      <w:r>
        <w:t>具相同的企業識別系統</w:t>
      </w:r>
      <w:r>
        <w:t xml:space="preserve"> (B)</w:t>
      </w:r>
      <w:r>
        <w:t>加盟者可拿到</w:t>
      </w:r>
      <w:r>
        <w:t>100%</w:t>
      </w:r>
      <w:r>
        <w:t>的利潤</w:t>
      </w:r>
      <w:r>
        <w:t xml:space="preserve"> (C)</w:t>
      </w:r>
      <w:r>
        <w:t>經營理念一致</w:t>
      </w:r>
      <w:r>
        <w:t xml:space="preserve"> (D)</w:t>
      </w:r>
      <w:r>
        <w:t>商品服務一致</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在委託加盟的連鎖體系下，加盟店的店舖裝潢費用是由何者負擔？</w:t>
      </w:r>
      <w:r>
        <w:t>(A)</w:t>
      </w:r>
      <w:r>
        <w:t>全由加盟者負擔</w:t>
      </w:r>
      <w:r>
        <w:t xml:space="preserve"> (B)</w:t>
      </w:r>
      <w:r>
        <w:t>全由總部負擔</w:t>
      </w:r>
      <w:r>
        <w:t xml:space="preserve"> (C)</w:t>
      </w:r>
      <w:r>
        <w:t>總部與加盟者負擔費用的比例為</w:t>
      </w:r>
      <w:r>
        <w:t>6:4 (D)</w:t>
      </w:r>
      <w:r>
        <w:t>總部與加盟者負擔費用的比例為</w:t>
      </w:r>
      <w:r>
        <w:t xml:space="preserve">4:6 </w:t>
      </w:r>
    </w:p>
    <w:p w:rsidR="005B490F" w:rsidRDefault="00422871" w:rsidP="006655AE">
      <w:pPr>
        <w:pStyle w:val="ODP"/>
        <w:numPr>
          <w:ilvl w:val="0"/>
          <w:numId w:val="2"/>
        </w:numPr>
        <w:spacing w:after="144"/>
        <w:ind w:left="1190" w:hanging="1190"/>
        <w:textAlignment w:val="center"/>
      </w:pPr>
      <w:r>
        <w:t xml:space="preserve">( </w:t>
      </w:r>
      <w:r>
        <w:rPr>
          <w:rStyle w:val="ans1"/>
        </w:rPr>
        <w:t> </w:t>
      </w:r>
      <w:r>
        <w:t xml:space="preserve"> ) </w:t>
      </w:r>
      <w:r>
        <w:t>某連鎖早餐店把每個餐點的製作流程，從</w:t>
      </w:r>
      <w:r>
        <w:t>10</w:t>
      </w:r>
      <w:r>
        <w:t>個步驟改變成</w:t>
      </w:r>
      <w:r>
        <w:t>3</w:t>
      </w:r>
      <w:r>
        <w:t>個步驟，讓員工更好學、作業更順暢、餐點製作更快速，請問此種作法符合連鎖經營</w:t>
      </w:r>
      <w:r>
        <w:t>3S</w:t>
      </w:r>
      <w:r>
        <w:t>原則中的哪一項原則？</w:t>
      </w:r>
      <w:r>
        <w:br/>
        <w:t>(A)</w:t>
      </w:r>
      <w:r>
        <w:t>簡單化</w:t>
      </w:r>
      <w:r>
        <w:t xml:space="preserve"> (B)</w:t>
      </w:r>
      <w:r>
        <w:t>多元化</w:t>
      </w:r>
      <w:r>
        <w:t xml:space="preserve"> (C)</w:t>
      </w:r>
      <w:r>
        <w:t>標準化</w:t>
      </w:r>
      <w:r>
        <w:t xml:space="preserve"> (D)</w:t>
      </w:r>
      <w:r>
        <w:t>專業化</w:t>
      </w:r>
    </w:p>
    <w:p w:rsidR="00A27640" w:rsidRDefault="00A27640" w:rsidP="00A27640">
      <w:pPr>
        <w:pStyle w:val="ODP"/>
        <w:spacing w:after="144"/>
        <w:ind w:left="1190" w:firstLineChars="0"/>
        <w:textAlignment w:val="center"/>
      </w:pPr>
    </w:p>
    <w:p w:rsidR="005B490F" w:rsidRDefault="00422871" w:rsidP="006655AE">
      <w:pPr>
        <w:pStyle w:val="quzans"/>
        <w:spacing w:after="144"/>
        <w:ind w:left="379" w:hanging="379"/>
        <w:textAlignment w:val="center"/>
      </w:pPr>
      <w:r>
        <w:lastRenderedPageBreak/>
        <w:t>選擇題答案</w:t>
      </w:r>
    </w:p>
    <w:p w:rsidR="005B490F" w:rsidRDefault="00422871" w:rsidP="006655AE">
      <w:pPr>
        <w:pStyle w:val="quzans"/>
        <w:spacing w:after="144"/>
        <w:ind w:left="379" w:hanging="379"/>
        <w:textAlignment w:val="center"/>
      </w:pPr>
      <w:r>
        <w:t xml:space="preserve">1. ( </w:t>
      </w:r>
      <w:r>
        <w:rPr>
          <w:rStyle w:val="ans1"/>
        </w:rPr>
        <w:t>D</w:t>
      </w:r>
      <w:r>
        <w:t xml:space="preserve"> ) 2. ( </w:t>
      </w:r>
      <w:r>
        <w:rPr>
          <w:rStyle w:val="ans1"/>
        </w:rPr>
        <w:t>A</w:t>
      </w:r>
      <w:r>
        <w:t xml:space="preserve"> ) 3. ( </w:t>
      </w:r>
      <w:r>
        <w:rPr>
          <w:rStyle w:val="ans1"/>
        </w:rPr>
        <w:t>B</w:t>
      </w:r>
      <w:r>
        <w:t xml:space="preserve"> ) 4. ( </w:t>
      </w:r>
      <w:r>
        <w:rPr>
          <w:rStyle w:val="ans1"/>
        </w:rPr>
        <w:t>C</w:t>
      </w:r>
      <w:r>
        <w:t xml:space="preserve"> ) 5. ( </w:t>
      </w:r>
      <w:r>
        <w:rPr>
          <w:rStyle w:val="ans1"/>
        </w:rPr>
        <w:t>D</w:t>
      </w:r>
      <w:r>
        <w:t xml:space="preserve"> )   6. ( </w:t>
      </w:r>
      <w:r>
        <w:rPr>
          <w:rStyle w:val="ans1"/>
        </w:rPr>
        <w:t>B</w:t>
      </w:r>
      <w:r>
        <w:t xml:space="preserve"> ) 7. ( </w:t>
      </w:r>
      <w:r>
        <w:rPr>
          <w:rStyle w:val="ans1"/>
        </w:rPr>
        <w:t>A</w:t>
      </w:r>
      <w:r>
        <w:t xml:space="preserve"> ) 8. ( </w:t>
      </w:r>
      <w:r>
        <w:rPr>
          <w:rStyle w:val="ans1"/>
        </w:rPr>
        <w:t>D</w:t>
      </w:r>
      <w:r>
        <w:t xml:space="preserve"> ) 9. ( </w:t>
      </w:r>
      <w:r>
        <w:rPr>
          <w:rStyle w:val="ans1"/>
        </w:rPr>
        <w:t>A</w:t>
      </w:r>
      <w:r>
        <w:t xml:space="preserve"> ) 10. ( </w:t>
      </w:r>
      <w:r>
        <w:rPr>
          <w:rStyle w:val="ans1"/>
        </w:rPr>
        <w:t>D</w:t>
      </w:r>
      <w:r>
        <w:t xml:space="preserve"> )</w:t>
      </w:r>
    </w:p>
    <w:p w:rsidR="005B490F" w:rsidRDefault="00422871" w:rsidP="006655AE">
      <w:pPr>
        <w:pStyle w:val="quzans"/>
        <w:spacing w:after="144"/>
        <w:ind w:left="379" w:hanging="379"/>
        <w:textAlignment w:val="center"/>
      </w:pPr>
      <w:r>
        <w:t xml:space="preserve">11. ( </w:t>
      </w:r>
      <w:r>
        <w:rPr>
          <w:rStyle w:val="ans1"/>
        </w:rPr>
        <w:t>D</w:t>
      </w:r>
      <w:r>
        <w:t xml:space="preserve"> ) 12. ( </w:t>
      </w:r>
      <w:r>
        <w:rPr>
          <w:rStyle w:val="ans1"/>
        </w:rPr>
        <w:t>D</w:t>
      </w:r>
      <w:r>
        <w:t xml:space="preserve"> ) 13. ( </w:t>
      </w:r>
      <w:r>
        <w:rPr>
          <w:rStyle w:val="ans1"/>
        </w:rPr>
        <w:t>D</w:t>
      </w:r>
      <w:r>
        <w:t xml:space="preserve"> ) 14. ( </w:t>
      </w:r>
      <w:r>
        <w:rPr>
          <w:rStyle w:val="ans1"/>
        </w:rPr>
        <w:t>C</w:t>
      </w:r>
      <w:r>
        <w:t xml:space="preserve"> ) 15. ( </w:t>
      </w:r>
      <w:r>
        <w:rPr>
          <w:rStyle w:val="ans1"/>
        </w:rPr>
        <w:t>B</w:t>
      </w:r>
      <w:r>
        <w:t xml:space="preserve"> )   16. ( </w:t>
      </w:r>
      <w:r>
        <w:rPr>
          <w:rStyle w:val="ans1"/>
        </w:rPr>
        <w:t>D</w:t>
      </w:r>
      <w:r>
        <w:t xml:space="preserve"> ) 17. ( </w:t>
      </w:r>
      <w:r>
        <w:rPr>
          <w:rStyle w:val="ans1"/>
        </w:rPr>
        <w:t>B</w:t>
      </w:r>
      <w:r>
        <w:t xml:space="preserve"> ) 18. ( </w:t>
      </w:r>
      <w:r>
        <w:rPr>
          <w:rStyle w:val="ans1"/>
        </w:rPr>
        <w:t>C</w:t>
      </w:r>
      <w:r>
        <w:t xml:space="preserve"> ) 19. ( </w:t>
      </w:r>
      <w:r>
        <w:rPr>
          <w:rStyle w:val="ans1"/>
        </w:rPr>
        <w:t>B</w:t>
      </w:r>
      <w:r>
        <w:t xml:space="preserve"> ) 20. ( </w:t>
      </w:r>
      <w:r>
        <w:rPr>
          <w:rStyle w:val="ans1"/>
        </w:rPr>
        <w:t>A</w:t>
      </w:r>
      <w:r>
        <w:t xml:space="preserve"> )</w:t>
      </w:r>
    </w:p>
    <w:p w:rsidR="005B490F" w:rsidRDefault="00422871" w:rsidP="006655AE">
      <w:pPr>
        <w:pStyle w:val="quzans"/>
        <w:spacing w:after="144"/>
        <w:ind w:left="379" w:hanging="379"/>
        <w:textAlignment w:val="center"/>
      </w:pPr>
      <w:r>
        <w:t xml:space="preserve">21. ( </w:t>
      </w:r>
      <w:r>
        <w:rPr>
          <w:rStyle w:val="ans1"/>
        </w:rPr>
        <w:t>A</w:t>
      </w:r>
      <w:r>
        <w:t xml:space="preserve"> ) 22. ( </w:t>
      </w:r>
      <w:r>
        <w:rPr>
          <w:rStyle w:val="ans1"/>
        </w:rPr>
        <w:t>D</w:t>
      </w:r>
      <w:r>
        <w:t xml:space="preserve"> ) 23. ( </w:t>
      </w:r>
      <w:r>
        <w:rPr>
          <w:rStyle w:val="ans1"/>
        </w:rPr>
        <w:t>A</w:t>
      </w:r>
      <w:r>
        <w:t xml:space="preserve"> ) 24. ( </w:t>
      </w:r>
      <w:r>
        <w:rPr>
          <w:rStyle w:val="ans1"/>
        </w:rPr>
        <w:t>A</w:t>
      </w:r>
      <w:r>
        <w:t xml:space="preserve"> ) 25. ( </w:t>
      </w:r>
      <w:r>
        <w:rPr>
          <w:rStyle w:val="ans1"/>
        </w:rPr>
        <w:t>D</w:t>
      </w:r>
      <w:r>
        <w:t xml:space="preserve"> )   26. ( </w:t>
      </w:r>
      <w:r>
        <w:rPr>
          <w:rStyle w:val="ans1"/>
        </w:rPr>
        <w:t>C</w:t>
      </w:r>
      <w:r>
        <w:t xml:space="preserve"> ) 27. ( </w:t>
      </w:r>
      <w:r>
        <w:rPr>
          <w:rStyle w:val="ans1"/>
        </w:rPr>
        <w:t>B</w:t>
      </w:r>
      <w:r>
        <w:t xml:space="preserve"> ) 28. ( </w:t>
      </w:r>
      <w:r>
        <w:rPr>
          <w:rStyle w:val="ans1"/>
        </w:rPr>
        <w:t>D</w:t>
      </w:r>
      <w:r>
        <w:t xml:space="preserve"> ) 29. ( </w:t>
      </w:r>
      <w:r>
        <w:rPr>
          <w:rStyle w:val="ans1"/>
        </w:rPr>
        <w:t>A</w:t>
      </w:r>
      <w:r>
        <w:t xml:space="preserve"> ) 30. ( </w:t>
      </w:r>
      <w:r>
        <w:rPr>
          <w:rStyle w:val="ans1"/>
        </w:rPr>
        <w:t>D</w:t>
      </w:r>
      <w:r>
        <w:t xml:space="preserve"> )</w:t>
      </w:r>
    </w:p>
    <w:p w:rsidR="00422871" w:rsidRDefault="00422871" w:rsidP="009A1B16">
      <w:pPr>
        <w:pStyle w:val="quzans"/>
        <w:spacing w:after="144"/>
        <w:ind w:left="379" w:hanging="379"/>
        <w:textAlignment w:val="center"/>
      </w:pPr>
      <w:r>
        <w:t xml:space="preserve">31. ( </w:t>
      </w:r>
      <w:r>
        <w:rPr>
          <w:rStyle w:val="ans1"/>
        </w:rPr>
        <w:t>B</w:t>
      </w:r>
      <w:r>
        <w:t xml:space="preserve"> ) 32. ( </w:t>
      </w:r>
      <w:r>
        <w:rPr>
          <w:rStyle w:val="ans1"/>
        </w:rPr>
        <w:t>B</w:t>
      </w:r>
      <w:r>
        <w:t xml:space="preserve"> ) 33. ( </w:t>
      </w:r>
      <w:r>
        <w:rPr>
          <w:rStyle w:val="ans1"/>
        </w:rPr>
        <w:t>B</w:t>
      </w:r>
      <w:r>
        <w:t xml:space="preserve"> ) 34. ( </w:t>
      </w:r>
      <w:r>
        <w:rPr>
          <w:rStyle w:val="ans1"/>
        </w:rPr>
        <w:t>B</w:t>
      </w:r>
      <w:r>
        <w:t xml:space="preserve"> ) 35. ( </w:t>
      </w:r>
      <w:r>
        <w:rPr>
          <w:rStyle w:val="ans1"/>
        </w:rPr>
        <w:t>D</w:t>
      </w:r>
      <w:r>
        <w:t xml:space="preserve"> )   36. ( </w:t>
      </w:r>
      <w:r>
        <w:rPr>
          <w:rStyle w:val="ans1"/>
        </w:rPr>
        <w:t>B</w:t>
      </w:r>
      <w:r>
        <w:t xml:space="preserve"> ) 37. ( </w:t>
      </w:r>
      <w:r>
        <w:rPr>
          <w:rStyle w:val="ans1"/>
        </w:rPr>
        <w:t>B</w:t>
      </w:r>
      <w:r>
        <w:t xml:space="preserve"> ) 38. ( </w:t>
      </w:r>
      <w:r>
        <w:rPr>
          <w:rStyle w:val="ans1"/>
        </w:rPr>
        <w:t>B</w:t>
      </w:r>
      <w:r>
        <w:t xml:space="preserve"> ) 39. ( </w:t>
      </w:r>
      <w:r>
        <w:rPr>
          <w:rStyle w:val="ans1"/>
        </w:rPr>
        <w:t>B</w:t>
      </w:r>
      <w:r>
        <w:t xml:space="preserve"> ) 40. ( </w:t>
      </w:r>
      <w:r>
        <w:rPr>
          <w:rStyle w:val="ans1"/>
        </w:rPr>
        <w:t>A</w:t>
      </w:r>
      <w:r>
        <w:t xml:space="preserve"> )</w:t>
      </w:r>
    </w:p>
    <w:sectPr w:rsidR="00422871" w:rsidSect="00EB1721">
      <w:pgSz w:w="14572" w:h="20639"/>
      <w:pgMar w:top="567" w:right="680" w:bottom="567" w:left="68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34CC" w:rsidRDefault="004C34CC" w:rsidP="004E00B1">
      <w:r>
        <w:separator/>
      </w:r>
    </w:p>
  </w:endnote>
  <w:endnote w:type="continuationSeparator" w:id="1">
    <w:p w:rsidR="004C34CC" w:rsidRDefault="004C34CC" w:rsidP="004E00B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өũ">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34CC" w:rsidRDefault="004C34CC" w:rsidP="004E00B1">
      <w:r>
        <w:separator/>
      </w:r>
    </w:p>
  </w:footnote>
  <w:footnote w:type="continuationSeparator" w:id="1">
    <w:p w:rsidR="004C34CC" w:rsidRDefault="004C34CC" w:rsidP="004E00B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80"/>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growAutofit/>
    <w:useFELayout/>
  </w:compat>
  <w:rsids>
    <w:rsidRoot w:val="009A1B16"/>
    <w:rsid w:val="00422871"/>
    <w:rsid w:val="004C34CC"/>
    <w:rsid w:val="004E00B1"/>
    <w:rsid w:val="004F3657"/>
    <w:rsid w:val="005B490F"/>
    <w:rsid w:val="006655AE"/>
    <w:rsid w:val="009A1B16"/>
    <w:rsid w:val="00A27640"/>
    <w:rsid w:val="00EB172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1721"/>
    <w:pPr>
      <w:widowControl w:val="0"/>
    </w:pPr>
    <w:rPr>
      <w:rFonts w:eastAsia="sөũ"/>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ODP">
    <w:name w:val="ODPﾜ"/>
    <w:basedOn w:val="a"/>
    <w:rsid w:val="00EB1721"/>
    <w:pPr>
      <w:spacing w:afterLines="40"/>
      <w:ind w:hangingChars="496" w:hanging="496"/>
    </w:pPr>
    <w:rPr>
      <w:rFonts w:eastAsia="新細明體"/>
    </w:rPr>
  </w:style>
  <w:style w:type="paragraph" w:customStyle="1" w:styleId="P">
    <w:name w:val="񥒻Pݵ"/>
    <w:basedOn w:val="a"/>
    <w:rsid w:val="00EB1721"/>
    <w:pPr>
      <w:spacing w:afterLines="40"/>
      <w:ind w:hangingChars="253" w:hanging="253"/>
    </w:pPr>
    <w:rPr>
      <w:rFonts w:eastAsia="新細明體"/>
    </w:rPr>
  </w:style>
  <w:style w:type="paragraph" w:customStyle="1" w:styleId="ans">
    <w:name w:val="ans"/>
    <w:basedOn w:val="a"/>
    <w:rsid w:val="00EB1721"/>
    <w:pPr>
      <w:spacing w:before="100" w:beforeAutospacing="1"/>
    </w:pPr>
    <w:rPr>
      <w:rFonts w:eastAsia="新細明體"/>
      <w:color w:val="FF0000"/>
    </w:rPr>
  </w:style>
  <w:style w:type="paragraph" w:customStyle="1" w:styleId="quzans">
    <w:name w:val="quz_ans"/>
    <w:basedOn w:val="a"/>
    <w:rsid w:val="00EB1721"/>
    <w:pPr>
      <w:spacing w:before="100" w:beforeAutospacing="1" w:afterLines="40"/>
      <w:ind w:hangingChars="158" w:hanging="158"/>
    </w:pPr>
    <w:rPr>
      <w:rFonts w:eastAsia="新細明體"/>
    </w:rPr>
  </w:style>
  <w:style w:type="character" w:customStyle="1" w:styleId="ans1">
    <w:name w:val="ans1"/>
    <w:basedOn w:val="a0"/>
    <w:rsid w:val="00EB1721"/>
    <w:rPr>
      <w:rFonts w:ascii="Times New Roman" w:hAnsi="Times New Roman" w:cs="Times New Roman" w:hint="default"/>
      <w:color w:val="FF0000"/>
      <w:kern w:val="2"/>
      <w:sz w:val="24"/>
      <w:szCs w:val="24"/>
    </w:rPr>
  </w:style>
  <w:style w:type="character" w:customStyle="1" w:styleId="notis">
    <w:name w:val="notis"/>
    <w:basedOn w:val="a0"/>
    <w:rsid w:val="00EB1721"/>
    <w:rPr>
      <w:color w:val="666666"/>
      <w:sz w:val="20"/>
      <w:szCs w:val="20"/>
    </w:rPr>
  </w:style>
  <w:style w:type="character" w:styleId="a3">
    <w:name w:val="Strong"/>
    <w:basedOn w:val="a0"/>
    <w:uiPriority w:val="22"/>
    <w:qFormat/>
    <w:rsid w:val="00EB1721"/>
    <w:rPr>
      <w:b/>
      <w:bCs/>
    </w:rPr>
  </w:style>
  <w:style w:type="paragraph" w:styleId="a4">
    <w:name w:val="Balloon Text"/>
    <w:basedOn w:val="a"/>
    <w:link w:val="a5"/>
    <w:uiPriority w:val="99"/>
    <w:semiHidden/>
    <w:unhideWhenUsed/>
    <w:rsid w:val="006655A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655AE"/>
    <w:rPr>
      <w:rFonts w:asciiTheme="majorHAnsi" w:eastAsiaTheme="majorEastAsia" w:hAnsiTheme="majorHAnsi" w:cstheme="majorBidi"/>
      <w:kern w:val="2"/>
      <w:sz w:val="18"/>
      <w:szCs w:val="18"/>
    </w:rPr>
  </w:style>
  <w:style w:type="paragraph" w:styleId="a6">
    <w:name w:val="header"/>
    <w:basedOn w:val="a"/>
    <w:link w:val="a7"/>
    <w:uiPriority w:val="99"/>
    <w:semiHidden/>
    <w:unhideWhenUsed/>
    <w:rsid w:val="004E00B1"/>
    <w:pPr>
      <w:tabs>
        <w:tab w:val="center" w:pos="4153"/>
        <w:tab w:val="right" w:pos="8306"/>
      </w:tabs>
      <w:snapToGrid w:val="0"/>
    </w:pPr>
    <w:rPr>
      <w:sz w:val="20"/>
      <w:szCs w:val="20"/>
    </w:rPr>
  </w:style>
  <w:style w:type="character" w:customStyle="1" w:styleId="a7">
    <w:name w:val="頁首 字元"/>
    <w:basedOn w:val="a0"/>
    <w:link w:val="a6"/>
    <w:uiPriority w:val="99"/>
    <w:semiHidden/>
    <w:rsid w:val="004E00B1"/>
    <w:rPr>
      <w:rFonts w:eastAsia="sөũ"/>
      <w:kern w:val="2"/>
    </w:rPr>
  </w:style>
  <w:style w:type="paragraph" w:styleId="a8">
    <w:name w:val="footer"/>
    <w:basedOn w:val="a"/>
    <w:link w:val="a9"/>
    <w:uiPriority w:val="99"/>
    <w:semiHidden/>
    <w:unhideWhenUsed/>
    <w:rsid w:val="004E00B1"/>
    <w:pPr>
      <w:tabs>
        <w:tab w:val="center" w:pos="4153"/>
        <w:tab w:val="right" w:pos="8306"/>
      </w:tabs>
      <w:snapToGrid w:val="0"/>
    </w:pPr>
    <w:rPr>
      <w:sz w:val="20"/>
      <w:szCs w:val="20"/>
    </w:rPr>
  </w:style>
  <w:style w:type="character" w:customStyle="1" w:styleId="a9">
    <w:name w:val="頁尾 字元"/>
    <w:basedOn w:val="a0"/>
    <w:link w:val="a8"/>
    <w:uiPriority w:val="99"/>
    <w:semiHidden/>
    <w:rsid w:val="004E00B1"/>
    <w:rPr>
      <w:rFonts w:eastAsia="sөũ"/>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rPr>
      <w:rFonts w:eastAsia="sөũ"/>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ODP">
    <w:name w:val="ODPﾜ"/>
    <w:basedOn w:val="a"/>
    <w:pPr>
      <w:spacing w:afterLines="40"/>
      <w:ind w:hangingChars="496" w:hanging="496"/>
    </w:pPr>
    <w:rPr>
      <w:rFonts w:eastAsia="新細明體"/>
    </w:rPr>
  </w:style>
  <w:style w:type="paragraph" w:customStyle="1" w:styleId="P">
    <w:name w:val="񥒻Pݵ"/>
    <w:basedOn w:val="a"/>
    <w:pPr>
      <w:spacing w:afterLines="40"/>
      <w:ind w:hangingChars="253" w:hanging="253"/>
    </w:pPr>
    <w:rPr>
      <w:rFonts w:eastAsia="新細明體"/>
    </w:rPr>
  </w:style>
  <w:style w:type="paragraph" w:customStyle="1" w:styleId="ans">
    <w:name w:val="ans"/>
    <w:basedOn w:val="a"/>
    <w:pPr>
      <w:spacing w:before="100" w:beforeAutospacing="1"/>
    </w:pPr>
    <w:rPr>
      <w:rFonts w:eastAsia="新細明體"/>
      <w:color w:val="FF0000"/>
    </w:rPr>
  </w:style>
  <w:style w:type="paragraph" w:customStyle="1" w:styleId="quzans">
    <w:name w:val="quz_ans"/>
    <w:basedOn w:val="a"/>
    <w:pPr>
      <w:spacing w:before="100" w:beforeAutospacing="1" w:afterLines="40"/>
      <w:ind w:hangingChars="158" w:hanging="158"/>
    </w:pPr>
    <w:rPr>
      <w:rFonts w:eastAsia="新細明體"/>
    </w:rPr>
  </w:style>
  <w:style w:type="character" w:customStyle="1" w:styleId="ans1">
    <w:name w:val="ans1"/>
    <w:basedOn w:val="a0"/>
    <w:rPr>
      <w:rFonts w:ascii="Times New Roman" w:hAnsi="Times New Roman" w:cs="Times New Roman" w:hint="default"/>
      <w:color w:val="FF0000"/>
      <w:kern w:val="2"/>
      <w:sz w:val="24"/>
      <w:szCs w:val="24"/>
    </w:rPr>
  </w:style>
  <w:style w:type="character" w:customStyle="1" w:styleId="notis">
    <w:name w:val="notis"/>
    <w:basedOn w:val="a0"/>
    <w:rPr>
      <w:color w:val="666666"/>
      <w:sz w:val="20"/>
      <w:szCs w:val="20"/>
    </w:rPr>
  </w:style>
  <w:style w:type="character" w:styleId="a3">
    <w:name w:val="Strong"/>
    <w:basedOn w:val="a0"/>
    <w:uiPriority w:val="22"/>
    <w:qFormat/>
    <w:rPr>
      <w:b/>
      <w:bCs/>
    </w:rPr>
  </w:style>
  <w:style w:type="paragraph" w:styleId="a4">
    <w:name w:val="Balloon Text"/>
    <w:basedOn w:val="a"/>
    <w:link w:val="a5"/>
    <w:uiPriority w:val="99"/>
    <w:semiHidden/>
    <w:unhideWhenUsed/>
    <w:rsid w:val="006655A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655AE"/>
    <w:rPr>
      <w:rFonts w:asciiTheme="majorHAnsi" w:eastAsiaTheme="majorEastAsia" w:hAnsiTheme="majorHAnsi" w:cstheme="majorBidi"/>
      <w:kern w:val="2"/>
      <w:sz w:val="18"/>
      <w:szCs w:val="18"/>
    </w:rPr>
  </w:style>
</w:styles>
</file>

<file path=word/webSettings.xml><?xml version="1.0" encoding="utf-8"?>
<w:webSettings xmlns:r="http://schemas.openxmlformats.org/officeDocument/2006/relationships" xmlns:w="http://schemas.openxmlformats.org/wordprocessingml/2006/main">
  <w:divs>
    <w:div w:id="11350300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creator>user</dc:creator>
  <cp:lastModifiedBy>YB</cp:lastModifiedBy>
  <cp:revision>2</cp:revision>
  <dcterms:created xsi:type="dcterms:W3CDTF">2020-01-21T12:46:00Z</dcterms:created>
  <dcterms:modified xsi:type="dcterms:W3CDTF">2020-01-21T12:46:00Z</dcterms:modified>
</cp:coreProperties>
</file>