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A447CA" w:rsidTr="003818F4">
        <w:trPr>
          <w:cantSplit/>
          <w:trHeight w:val="188"/>
          <w:jc w:val="center"/>
        </w:trPr>
        <w:tc>
          <w:tcPr>
            <w:tcW w:w="8069" w:type="dxa"/>
            <w:gridSpan w:val="8"/>
            <w:tcBorders>
              <w:bottom w:val="single" w:sz="4" w:space="0" w:color="auto"/>
            </w:tcBorders>
            <w:vAlign w:val="center"/>
          </w:tcPr>
          <w:p w:rsidR="00162D29" w:rsidRPr="00A447CA" w:rsidRDefault="00162D29" w:rsidP="00556CD4">
            <w:pPr>
              <w:tabs>
                <w:tab w:val="center" w:pos="4153"/>
                <w:tab w:val="right" w:pos="8306"/>
              </w:tabs>
              <w:snapToGrid w:val="0"/>
              <w:spacing w:line="360" w:lineRule="auto"/>
              <w:jc w:val="center"/>
              <w:rPr>
                <w:rFonts w:ascii="新細明體" w:eastAsia="新細明體" w:hAnsi="新細明體" w:cs="Times New Roman"/>
                <w:sz w:val="20"/>
                <w:szCs w:val="20"/>
              </w:rPr>
            </w:pPr>
            <w:r w:rsidRPr="00A447CA">
              <w:rPr>
                <w:rFonts w:ascii="新細明體" w:eastAsia="新細明體" w:hAnsi="新細明體" w:cs="Times New Roman" w:hint="eastAsia"/>
                <w:sz w:val="28"/>
                <w:szCs w:val="20"/>
              </w:rPr>
              <w:t>市立新北高工</w:t>
            </w:r>
            <w:r w:rsidR="008679D5">
              <w:rPr>
                <w:rFonts w:ascii="新細明體" w:eastAsia="新細明體" w:hAnsi="新細明體" w:cs="Times New Roman" w:hint="eastAsia"/>
                <w:color w:val="FF0000"/>
                <w:sz w:val="28"/>
                <w:szCs w:val="20"/>
              </w:rPr>
              <w:t>108</w:t>
            </w:r>
            <w:r w:rsidRPr="00A447CA">
              <w:rPr>
                <w:rFonts w:ascii="新細明體" w:eastAsia="新細明體" w:hAnsi="新細明體" w:cs="Times New Roman" w:hint="eastAsia"/>
                <w:sz w:val="28"/>
                <w:szCs w:val="20"/>
              </w:rPr>
              <w:t>學年度第</w:t>
            </w:r>
            <w:r w:rsidR="00556CD4">
              <w:rPr>
                <w:rFonts w:ascii="新細明體" w:eastAsia="新細明體" w:hAnsi="新細明體" w:cs="Times New Roman"/>
                <w:color w:val="FF0000"/>
                <w:sz w:val="28"/>
                <w:szCs w:val="20"/>
              </w:rPr>
              <w:t>2</w:t>
            </w:r>
            <w:r w:rsidRPr="00A447CA">
              <w:rPr>
                <w:rFonts w:ascii="新細明體" w:eastAsia="新細明體" w:hAnsi="新細明體" w:cs="Times New Roman" w:hint="eastAsia"/>
                <w:sz w:val="28"/>
                <w:szCs w:val="20"/>
              </w:rPr>
              <w:t>學期</w:t>
            </w:r>
            <w:r w:rsidR="00556CD4">
              <w:rPr>
                <w:rFonts w:ascii="新細明體" w:eastAsia="新細明體" w:hAnsi="新細明體" w:cs="Times New Roman" w:hint="eastAsia"/>
                <w:color w:val="FF0000"/>
                <w:sz w:val="28"/>
                <w:szCs w:val="20"/>
              </w:rPr>
              <w:t>第一</w:t>
            </w:r>
            <w:r w:rsidR="00556CD4">
              <w:rPr>
                <w:rFonts w:ascii="新細明體" w:eastAsia="新細明體" w:hAnsi="新細明體" w:cs="Times New Roman"/>
                <w:color w:val="FF0000"/>
                <w:sz w:val="28"/>
                <w:szCs w:val="20"/>
              </w:rPr>
              <w:t>次</w:t>
            </w:r>
            <w:r w:rsidR="00556CD4">
              <w:rPr>
                <w:rFonts w:ascii="新細明體" w:eastAsia="新細明體" w:hAnsi="新細明體" w:cs="Times New Roman" w:hint="eastAsia"/>
                <w:color w:val="FF0000"/>
                <w:sz w:val="28"/>
                <w:szCs w:val="20"/>
              </w:rPr>
              <w:t>段</w:t>
            </w:r>
            <w:r w:rsidR="00556CD4">
              <w:rPr>
                <w:rFonts w:ascii="新細明體" w:eastAsia="新細明體" w:hAnsi="新細明體" w:cs="Times New Roman"/>
                <w:color w:val="FF0000"/>
                <w:sz w:val="28"/>
                <w:szCs w:val="20"/>
              </w:rPr>
              <w:t>考</w:t>
            </w:r>
            <w:r w:rsidRPr="00A447CA">
              <w:rPr>
                <w:rFonts w:ascii="新細明體" w:eastAsia="新細明體" w:hAnsi="新細明體" w:cs="Times New Roman" w:hint="eastAsia"/>
                <w:sz w:val="28"/>
                <w:szCs w:val="20"/>
              </w:rPr>
              <w:t>試題</w:t>
            </w:r>
          </w:p>
        </w:tc>
        <w:tc>
          <w:tcPr>
            <w:tcW w:w="632" w:type="dxa"/>
            <w:tcBorders>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850"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p>
        </w:tc>
        <w:tc>
          <w:tcPr>
            <w:tcW w:w="592"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778"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928" w:type="dxa"/>
            <w:tcBorders>
              <w:left w:val="single" w:sz="4" w:space="0" w:color="auto"/>
              <w:bottom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162D29" w:rsidRPr="00A447CA" w:rsidTr="000009E9">
        <w:trPr>
          <w:cantSplit/>
          <w:trHeight w:val="192"/>
          <w:jc w:val="center"/>
        </w:trPr>
        <w:tc>
          <w:tcPr>
            <w:tcW w:w="1135" w:type="dxa"/>
            <w:tcBorders>
              <w:top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689" w:type="dxa"/>
            <w:tcBorders>
              <w:top w:val="single" w:sz="4" w:space="0" w:color="auto"/>
              <w:left w:val="single" w:sz="4" w:space="0" w:color="auto"/>
              <w:right w:val="single" w:sz="4" w:space="0" w:color="auto"/>
            </w:tcBorders>
            <w:vAlign w:val="center"/>
          </w:tcPr>
          <w:p w:rsidR="00162D29" w:rsidRPr="00A447CA" w:rsidRDefault="0091479F" w:rsidP="00FD4138">
            <w:pPr>
              <w:tabs>
                <w:tab w:val="center" w:pos="4153"/>
                <w:tab w:val="right" w:pos="8306"/>
              </w:tabs>
              <w:snapToGrid w:val="0"/>
              <w:spacing w:line="360" w:lineRule="auto"/>
              <w:jc w:val="center"/>
              <w:rPr>
                <w:rFonts w:ascii="新細明體" w:eastAsia="新細明體" w:hAnsi="新細明體" w:cs="Times New Roman"/>
                <w:szCs w:val="20"/>
              </w:rPr>
            </w:pPr>
            <w:r>
              <w:rPr>
                <w:rFonts w:ascii="新細明體" w:eastAsia="新細明體" w:hAnsi="新細明體" w:cs="Times New Roman" w:hint="eastAsia"/>
                <w:szCs w:val="20"/>
              </w:rPr>
              <w:t>商業</w:t>
            </w:r>
            <w:r>
              <w:rPr>
                <w:rFonts w:ascii="新細明體" w:eastAsia="新細明體" w:hAnsi="新細明體" w:cs="Times New Roman"/>
                <w:szCs w:val="20"/>
              </w:rPr>
              <w:t>概論</w:t>
            </w:r>
          </w:p>
        </w:tc>
        <w:tc>
          <w:tcPr>
            <w:tcW w:w="1035"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1307" w:type="dxa"/>
            <w:tcBorders>
              <w:top w:val="single" w:sz="4" w:space="0" w:color="auto"/>
              <w:left w:val="single" w:sz="4" w:space="0" w:color="auto"/>
              <w:right w:val="single" w:sz="4" w:space="0" w:color="auto"/>
            </w:tcBorders>
            <w:vAlign w:val="center"/>
          </w:tcPr>
          <w:p w:rsidR="00162D29" w:rsidRPr="00A447CA" w:rsidRDefault="00E47D4B" w:rsidP="00FD4138">
            <w:pPr>
              <w:tabs>
                <w:tab w:val="center" w:pos="4153"/>
                <w:tab w:val="right" w:pos="8306"/>
              </w:tabs>
              <w:snapToGrid w:val="0"/>
              <w:spacing w:line="360" w:lineRule="auto"/>
              <w:ind w:firstLineChars="100" w:firstLine="240"/>
              <w:rPr>
                <w:rFonts w:ascii="新細明體" w:eastAsia="新細明體" w:hAnsi="新細明體" w:cs="Times New Roman"/>
                <w:szCs w:val="20"/>
              </w:rPr>
            </w:pPr>
            <w:r>
              <w:rPr>
                <w:rFonts w:ascii="新細明體" w:eastAsia="新細明體" w:hAnsi="新細明體" w:cs="Times New Roman" w:hint="eastAsia"/>
                <w:szCs w:val="20"/>
              </w:rPr>
              <w:t>勞裕安</w:t>
            </w:r>
          </w:p>
        </w:tc>
        <w:tc>
          <w:tcPr>
            <w:tcW w:w="615"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57" w:type="dxa"/>
            <w:tcBorders>
              <w:top w:val="single" w:sz="4" w:space="0" w:color="auto"/>
              <w:left w:val="single" w:sz="4" w:space="0" w:color="auto"/>
              <w:right w:val="single" w:sz="4" w:space="0" w:color="auto"/>
            </w:tcBorders>
            <w:vAlign w:val="center"/>
          </w:tcPr>
          <w:p w:rsidR="00162D29" w:rsidRPr="00A447CA" w:rsidRDefault="004863A4" w:rsidP="00FD4138">
            <w:pPr>
              <w:tabs>
                <w:tab w:val="center" w:pos="4153"/>
                <w:tab w:val="right" w:pos="8306"/>
              </w:tabs>
              <w:snapToGrid w:val="0"/>
              <w:spacing w:line="360" w:lineRule="auto"/>
              <w:jc w:val="center"/>
              <w:rPr>
                <w:rFonts w:ascii="新細明體" w:eastAsia="新細明體" w:hAnsi="新細明體" w:cs="Times New Roman"/>
                <w:szCs w:val="20"/>
              </w:rPr>
            </w:pPr>
            <w:r>
              <w:rPr>
                <w:rFonts w:ascii="新細明體" w:eastAsia="新細明體" w:hAnsi="新細明體" w:cs="Times New Roman" w:hint="eastAsia"/>
                <w:szCs w:val="20"/>
              </w:rPr>
              <w:t>一</w:t>
            </w:r>
          </w:p>
        </w:tc>
        <w:tc>
          <w:tcPr>
            <w:tcW w:w="773"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1058" w:type="dxa"/>
            <w:tcBorders>
              <w:top w:val="single" w:sz="4" w:space="0" w:color="auto"/>
              <w:left w:val="single" w:sz="4" w:space="0" w:color="auto"/>
              <w:right w:val="double" w:sz="4" w:space="0" w:color="auto"/>
            </w:tcBorders>
            <w:vAlign w:val="center"/>
          </w:tcPr>
          <w:p w:rsidR="00162D29" w:rsidRPr="00A447CA" w:rsidRDefault="00072B75" w:rsidP="00FD4138">
            <w:pPr>
              <w:tabs>
                <w:tab w:val="center" w:pos="4153"/>
                <w:tab w:val="right" w:pos="8306"/>
              </w:tabs>
              <w:snapToGrid w:val="0"/>
              <w:spacing w:line="360" w:lineRule="auto"/>
              <w:ind w:left="112"/>
              <w:rPr>
                <w:rFonts w:ascii="新細明體" w:eastAsia="新細明體" w:hAnsi="新細明體" w:cs="Times New Roman" w:hint="eastAsia"/>
                <w:szCs w:val="20"/>
              </w:rPr>
            </w:pPr>
            <w:r>
              <w:rPr>
                <w:rFonts w:ascii="新細明體" w:eastAsia="新細明體" w:hAnsi="新細明體" w:cs="Times New Roman" w:hint="eastAsia"/>
                <w:szCs w:val="20"/>
              </w:rPr>
              <w:t>應外</w:t>
            </w:r>
            <w:r>
              <w:rPr>
                <w:rFonts w:ascii="新細明體" w:eastAsia="新細明體" w:hAnsi="新細明體" w:cs="Times New Roman"/>
                <w:szCs w:val="20"/>
              </w:rPr>
              <w:t>科</w:t>
            </w:r>
            <w:bookmarkStart w:id="0" w:name="_GoBack"/>
            <w:bookmarkEnd w:id="0"/>
          </w:p>
        </w:tc>
        <w:tc>
          <w:tcPr>
            <w:tcW w:w="632" w:type="dxa"/>
            <w:tcBorders>
              <w:top w:val="single" w:sz="4" w:space="0" w:color="auto"/>
              <w:left w:val="doub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2220" w:type="dxa"/>
            <w:gridSpan w:val="3"/>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928" w:type="dxa"/>
            <w:tcBorders>
              <w:top w:val="single" w:sz="4" w:space="0" w:color="auto"/>
              <w:left w:val="single" w:sz="4" w:space="0" w:color="auto"/>
            </w:tcBorders>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sidR="00E47D4B">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B335B2" w:rsidRDefault="00B335B2" w:rsidP="00B335B2">
      <w:pPr>
        <w:autoSpaceDE w:val="0"/>
        <w:autoSpaceDN w:val="0"/>
        <w:adjustRightInd w:val="0"/>
        <w:rPr>
          <w:rFonts w:ascii="Arial" w:hAnsi="Arial" w:cs="新細明體"/>
        </w:rPr>
      </w:pPr>
      <w:r>
        <w:rPr>
          <w:rFonts w:ascii="Arial" w:hAnsi="Arial" w:cs="新細明體" w:hint="eastAsia"/>
        </w:rPr>
        <w:t>每題</w:t>
      </w:r>
      <w:r>
        <w:rPr>
          <w:rFonts w:ascii="Arial" w:hAnsi="Arial" w:cs="新細明體" w:hint="eastAsia"/>
        </w:rPr>
        <w:t>2</w:t>
      </w:r>
      <w:r>
        <w:rPr>
          <w:rFonts w:ascii="Arial" w:hAnsi="Arial" w:cs="新細明體" w:hint="eastAsia"/>
        </w:rPr>
        <w:t>分，共</w:t>
      </w:r>
      <w:r>
        <w:rPr>
          <w:rFonts w:ascii="Arial" w:hAnsi="Arial" w:cs="新細明體" w:hint="eastAsia"/>
        </w:rPr>
        <w:t>100</w:t>
      </w:r>
      <w:r>
        <w:rPr>
          <w:rFonts w:ascii="Arial" w:hAnsi="Arial" w:cs="新細明體" w:hint="eastAsia"/>
        </w:rPr>
        <w:t>分</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)1.</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某公司產品因市場競爭激烈，不得不採差異行銷與低價促銷，該公司的產品正處於產品生命週期的</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導入期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成長期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成熟期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衰退期</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)2.</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生產導向→</w:t>
      </w:r>
      <w:r w:rsidRPr="00791144">
        <w:rPr>
          <w:rFonts w:asciiTheme="minorBidi" w:eastAsia="新細明體" w:hAnsiTheme="minorBidi" w:cs="Times New Roman"/>
          <w:color w:val="000000"/>
          <w:szCs w:val="24"/>
        </w:rPr>
        <w:t>A</w:t>
      </w:r>
      <w:r w:rsidRPr="00791144">
        <w:rPr>
          <w:rFonts w:asciiTheme="minorBidi" w:eastAsia="新細明體" w:hAnsiTheme="minorBidi" w:cs="Times New Roman" w:hint="eastAsia"/>
          <w:color w:val="000000"/>
          <w:szCs w:val="24"/>
        </w:rPr>
        <w:t>→</w:t>
      </w:r>
      <w:r w:rsidRPr="00791144">
        <w:rPr>
          <w:rFonts w:asciiTheme="minorBidi" w:eastAsia="新細明體" w:hAnsiTheme="minorBidi" w:cs="Times New Roman"/>
          <w:color w:val="000000"/>
          <w:szCs w:val="24"/>
        </w:rPr>
        <w:t>B</w:t>
      </w:r>
      <w:r w:rsidRPr="00791144">
        <w:rPr>
          <w:rFonts w:asciiTheme="minorBidi" w:eastAsia="新細明體" w:hAnsiTheme="minorBidi" w:cs="Times New Roman" w:hint="eastAsia"/>
          <w:color w:val="000000"/>
          <w:szCs w:val="24"/>
        </w:rPr>
        <w:t>→</w:t>
      </w:r>
      <w:r w:rsidRPr="00791144">
        <w:rPr>
          <w:rFonts w:asciiTheme="minorBidi" w:eastAsia="新細明體" w:hAnsiTheme="minorBidi" w:cs="Times New Roman"/>
          <w:color w:val="000000"/>
          <w:szCs w:val="24"/>
        </w:rPr>
        <w:t>C</w:t>
      </w:r>
      <w:r w:rsidRPr="00791144">
        <w:rPr>
          <w:rFonts w:asciiTheme="minorBidi" w:eastAsia="新細明體" w:hAnsiTheme="minorBidi" w:cs="Times New Roman" w:hint="eastAsia"/>
          <w:color w:val="000000"/>
          <w:szCs w:val="24"/>
        </w:rPr>
        <w:t>→社會行銷導向，其中</w:t>
      </w:r>
      <w:r w:rsidRPr="00791144">
        <w:rPr>
          <w:rFonts w:asciiTheme="minorBidi" w:eastAsia="新細明體" w:hAnsiTheme="minorBidi" w:cs="Times New Roman"/>
          <w:color w:val="000000"/>
          <w:szCs w:val="24"/>
        </w:rPr>
        <w:t>ABC</w:t>
      </w:r>
      <w:r w:rsidRPr="00791144">
        <w:rPr>
          <w:rFonts w:asciiTheme="minorBidi" w:eastAsia="新細明體" w:hAnsiTheme="minorBidi" w:cs="Times New Roman" w:hint="eastAsia"/>
          <w:color w:val="000000"/>
          <w:szCs w:val="24"/>
        </w:rPr>
        <w:t>是指</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行銷導向、銷售導向、產品導向</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產品導向、銷售導向、行銷導向</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行銷導向、產品導向、銷售導向</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銷售導向、行銷導向、產品導向</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)3.</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開喜烏龍茶是國內第一個生產茶飲料的廠商，由於開喜瞭解近年國人生活水準提高，不喜歡可樂、汽水、果汁等太甜的飲料，所以以茶飲料成功區隔市場，讓消費者感受完全不同的飲料；請問開喜烏龍茶掌握到何種市場必備條件？</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可接近性</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足量性</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可差異化</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可衡量性</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)4.</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產品生命週期</w:t>
      </w:r>
      <w:r w:rsidRPr="00791144">
        <w:rPr>
          <w:rFonts w:asciiTheme="minorBidi" w:eastAsia="新細明體" w:hAnsiTheme="minorBidi" w:cs="Times New Roman"/>
          <w:color w:val="000000"/>
          <w:szCs w:val="24"/>
        </w:rPr>
        <w:t>(PLC)</w:t>
      </w:r>
      <w:r w:rsidRPr="00791144">
        <w:rPr>
          <w:rFonts w:asciiTheme="minorBidi" w:eastAsia="新細明體" w:hAnsiTheme="minorBidi" w:cs="Times New Roman" w:hint="eastAsia"/>
          <w:color w:val="000000"/>
          <w:szCs w:val="24"/>
        </w:rPr>
        <w:t>依序為</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導入期、成長期、成熟期、衰退期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導入期、成熟期、成長期、衰退期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成長期、導入期、成熟期、衰退期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導入期、成長期、衰退期、成熟期</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)5.</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贊同</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無差異行銷</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差異行銷</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集中行銷</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分散行銷</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cs="Times New Roman" w:hint="eastAsia"/>
          <w:color w:val="000000"/>
          <w:szCs w:val="24"/>
        </w:rPr>
        <w:t>者，主要理由是在於節省成本，符合「標準化」和「大量生產」的原則</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)6.</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過去一年來，台灣的大哥大公司之間競爭轉趨激烈，頻頻推出低價手機方案來搭配門號促銷，其原因是</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競爭者增多</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市場正在成長期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市場已在成熟期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競爭者減少</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)7.</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哪種情況較不適合採用差異行銷？</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公司資源豐富</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產品處於生命週期的成熟期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產品差異性高</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消費者同質性高</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)8.</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從產品導入市場至消失於市場的週期當中，通常在下列哪個階段，廠商開始尋找新市場區隔或外移至成本較低的國家或地區生產？</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導入期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成長期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成熟期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衰退期</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)9.</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某公司生產的產品及所設計的行銷方案，是以大多數消費者的需求為主，故使用大量媒體與一般性主題來迎合所有消費者，就選擇目標市場的行銷策略而言，該公司是使用下列哪一項策略？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差異行銷策略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無差異行銷策略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密集性行銷策略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集中行銷策略</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)10.</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波特</w:t>
      </w:r>
      <w:r w:rsidRPr="00791144">
        <w:rPr>
          <w:rFonts w:asciiTheme="minorBidi" w:eastAsia="新細明體" w:hAnsiTheme="minorBidi" w:cs="Times New Roman"/>
          <w:color w:val="000000"/>
          <w:szCs w:val="24"/>
        </w:rPr>
        <w:t>(Michael E. Porter)</w:t>
      </w:r>
      <w:r w:rsidRPr="00791144">
        <w:rPr>
          <w:rFonts w:asciiTheme="minorBidi" w:eastAsia="新細明體" w:hAnsiTheme="minorBidi" w:cs="Times New Roman" w:hint="eastAsia"/>
          <w:color w:val="000000"/>
          <w:szCs w:val="24"/>
        </w:rPr>
        <w:t>所提出的五個影響目標市場長期吸引力的因素，不包括下列何者？</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同業的競爭</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替代品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購買者的議價力量</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互補品</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)11.</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目前市場上有個人電腦</w:t>
      </w:r>
      <w:r w:rsidRPr="00791144">
        <w:rPr>
          <w:rFonts w:asciiTheme="minorBidi" w:eastAsia="新細明體" w:hAnsiTheme="minorBidi" w:cs="Times New Roman"/>
          <w:color w:val="000000"/>
          <w:szCs w:val="24"/>
        </w:rPr>
        <w:t>(PC)</w:t>
      </w:r>
      <w:r w:rsidRPr="00791144">
        <w:rPr>
          <w:rFonts w:asciiTheme="minorBidi" w:eastAsia="新細明體" w:hAnsiTheme="minorBidi" w:cs="Times New Roman" w:hint="eastAsia"/>
          <w:color w:val="000000"/>
          <w:szCs w:val="24"/>
        </w:rPr>
        <w:t>的銷售量下降，替代性的手持式行動裝置</w:t>
      </w:r>
      <w:r w:rsidRPr="00791144">
        <w:rPr>
          <w:rFonts w:asciiTheme="minorBidi" w:eastAsia="新細明體" w:hAnsiTheme="minorBidi" w:cs="Times New Roman"/>
          <w:color w:val="000000"/>
          <w:szCs w:val="24"/>
        </w:rPr>
        <w:t>(</w:t>
      </w:r>
      <w:r w:rsidRPr="00791144">
        <w:rPr>
          <w:rFonts w:asciiTheme="minorBidi" w:eastAsia="新細明體" w:hAnsiTheme="minorBidi" w:cs="Times New Roman" w:hint="eastAsia"/>
          <w:color w:val="000000"/>
          <w:szCs w:val="24"/>
        </w:rPr>
        <w:t>如平板電腦、手機等</w:t>
      </w:r>
      <w:r w:rsidRPr="00791144">
        <w:rPr>
          <w:rFonts w:asciiTheme="minorBidi" w:eastAsia="新細明體" w:hAnsiTheme="minorBidi" w:cs="Times New Roman"/>
          <w:color w:val="000000"/>
          <w:szCs w:val="24"/>
        </w:rPr>
        <w:t>)</w:t>
      </w:r>
      <w:r w:rsidRPr="00791144">
        <w:rPr>
          <w:rFonts w:asciiTheme="minorBidi" w:eastAsia="新細明體" w:hAnsiTheme="minorBidi" w:cs="Times New Roman" w:hint="eastAsia"/>
          <w:color w:val="000000"/>
          <w:szCs w:val="24"/>
        </w:rPr>
        <w:t>銷售量大增的現象，則下列敘述何者正確？</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手持式行動裝置進入成長期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個人電腦</w:t>
      </w:r>
      <w:r w:rsidRPr="00791144">
        <w:rPr>
          <w:rFonts w:asciiTheme="minorBidi" w:eastAsia="新細明體" w:hAnsiTheme="minorBidi" w:cs="Times New Roman"/>
          <w:color w:val="000000"/>
          <w:szCs w:val="24"/>
        </w:rPr>
        <w:t>(PC)</w:t>
      </w:r>
      <w:r w:rsidRPr="00791144">
        <w:rPr>
          <w:rFonts w:asciiTheme="minorBidi" w:eastAsia="新細明體" w:hAnsiTheme="minorBidi" w:cs="Times New Roman" w:hint="eastAsia"/>
          <w:color w:val="000000"/>
          <w:szCs w:val="24"/>
        </w:rPr>
        <w:t>進入成長期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手持式行動裝置進入成熟期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個人電腦</w:t>
      </w:r>
      <w:r w:rsidRPr="00791144">
        <w:rPr>
          <w:rFonts w:asciiTheme="minorBidi" w:eastAsia="新細明體" w:hAnsiTheme="minorBidi" w:cs="Times New Roman"/>
          <w:color w:val="000000"/>
          <w:szCs w:val="24"/>
        </w:rPr>
        <w:t>(PC)</w:t>
      </w:r>
      <w:r w:rsidRPr="00791144">
        <w:rPr>
          <w:rFonts w:asciiTheme="minorBidi" w:eastAsia="新細明體" w:hAnsiTheme="minorBidi" w:cs="Times New Roman" w:hint="eastAsia"/>
          <w:color w:val="000000"/>
          <w:szCs w:val="24"/>
        </w:rPr>
        <w:t>進入導入期</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)12.</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「產品售價較高而銷量低，企業卻仍必須投入研發及教育消費者的費用」，這是屬於產品生命週期的哪個時期？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導入期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成長期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成熟期</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衰退期</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)13.</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許多銀髮族因為行動不便而仰賴行動輔具，阿杰看到因此衍生出來的市場商機，打算投入科技行動輔具的事業，這最符合哪一種選擇目標市場的策略？</w:t>
      </w:r>
      <w:r w:rsidRPr="00791144">
        <w:rPr>
          <w:rFonts w:asciiTheme="minorBidi" w:eastAsia="新細明體" w:hAnsiTheme="minorBidi"/>
          <w:szCs w:val="24"/>
        </w:rPr>
        <w:t>(A)</w:t>
      </w:r>
      <w:r w:rsidRPr="00791144">
        <w:rPr>
          <w:rFonts w:asciiTheme="minorBidi" w:eastAsia="新細明體" w:hAnsiTheme="minorBidi" w:cs="Times New Roman" w:hint="eastAsia"/>
          <w:color w:val="000000"/>
          <w:szCs w:val="24"/>
        </w:rPr>
        <w:t>無差異化行銷</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集中化行銷</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差異化行銷</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置入性行銷</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)14.</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伊修企業的產品組合「很廣」，這是意謂著該企業擁有</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很多愛用者</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很多的中間商</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很多的產品項目</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很多條的產品線</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)15.</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產品的包裝屬於</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核心產品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有形產品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引伸產品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增益產品</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)16.</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下列何者非為行銷導向時期的敘述？</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顧客買到自己想要的產品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良好的售後服務</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顧客容易產生認知失調</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顧客永遠是對的</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)17.</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產品的效用滿足是屬於</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核心產品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有形產品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延伸產品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擴大產品</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)18.</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行銷觀念的敘述何者錯誤？</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方法為個別部門的促銷</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經營重點在滿足顧客的需要與慾望</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利潤來自顧客的滿足</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由銷售觀念演進發展而來</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)19.</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年輕女孩子購買化粧品，並不是為了那動人的顏色，而是在購買一股對美麗容顏的憧憬和希望，此種產品層次是：</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核心產品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有形產品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引伸產品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實體產品</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)20.</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消費者在購買物品的過程中，對物品的價格、品質、式樣等經過比較之後，才購買的產品，稱為</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便利品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選購品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特殊品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耐久品</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)21.</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華元食品製造商為統一超商製造食品，並冠以</w:t>
      </w:r>
      <w:r w:rsidRPr="00791144">
        <w:rPr>
          <w:rFonts w:asciiTheme="minorBidi" w:eastAsia="新細明體" w:hAnsiTheme="minorBidi" w:cs="Times New Roman"/>
          <w:color w:val="000000"/>
          <w:szCs w:val="24"/>
        </w:rPr>
        <w:t>7-SELECT</w:t>
      </w:r>
      <w:r w:rsidRPr="00791144">
        <w:rPr>
          <w:rFonts w:asciiTheme="minorBidi" w:eastAsia="新細明體" w:hAnsiTheme="minorBidi" w:cs="Times New Roman" w:hint="eastAsia"/>
          <w:color w:val="000000"/>
          <w:szCs w:val="24"/>
        </w:rPr>
        <w:t>品牌，這類商品稱為</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自有品牌</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生產商品牌</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混合品牌</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無品牌</w:t>
      </w:r>
      <w:r w:rsidRPr="00791144">
        <w:rPr>
          <w:rFonts w:asciiTheme="minorBidi" w:eastAsia="新細明體" w:hAnsiTheme="minorBidi"/>
          <w:szCs w:val="24"/>
        </w:rPr>
        <w:t xml:space="preserve"> </w:t>
      </w:r>
    </w:p>
    <w:p w:rsid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)22.</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一群旅客到清境農場旅遊並投宿在民宿中，除了風景之外，這群旅客希望民宿業者真的能提供舒適的休憩空間，並且有乾淨的衛浴設備；若依產品五層次的論點，這群旅客需要的是何種產品層次？</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期望產品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潛在產品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引伸產品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擴大產品</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lastRenderedPageBreak/>
        <w:t>(    )23.</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資本雄厚的製造商會自己創建品牌，並不斷透過廣告提升品牌知名度，同時也為將來的商品打基礎例如統一企業以自己的品牌不斷在電視上打廣告，商品不斷推陳出新，依品牌歸屬策略而言，這是</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無品牌</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混合品牌</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全國性品牌</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自有品牌</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)24.</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黑松公司的商品種類很多，但專門以沙士為主打商品，這種以較具知名度的產品為主打商品，以吸引消費者購買，再以高知名度發展其他不同商品，這種產品策略稱為</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縮減策略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更新策略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多品牌策略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特色策略</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)25.</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以超商與超市商品種類的比較，超商注重消費者對民生用品的需求，超市則多了家庭五金、生鮮食品…等；若以產品組合而言，下列敘述何者正確？</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超商的產品組合比較寬</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超商的產品組合比較深</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超市的產品組合比較一致性</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超市的產品組合比較廣</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)26.</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在何種觀念導向下，業者總認為只要改進商品品質，必定會帶來很好的業績？</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行銷觀念導向</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產品觀念導向</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綠色行銷觀念導向</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銷售觀念導向</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)27.</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某企業有五條不同的產品線，分別生產</w:t>
      </w:r>
      <w:r w:rsidRPr="00791144">
        <w:rPr>
          <w:rFonts w:asciiTheme="minorBidi" w:eastAsia="新細明體" w:hAnsiTheme="minorBidi" w:cs="Times New Roman"/>
          <w:color w:val="000000"/>
          <w:szCs w:val="24"/>
        </w:rPr>
        <w:t>2</w:t>
      </w:r>
      <w:r w:rsidRPr="00791144">
        <w:rPr>
          <w:rFonts w:asciiTheme="minorBidi" w:eastAsia="新細明體" w:hAnsiTheme="minorBidi" w:cs="Times New Roman" w:hint="eastAsia"/>
          <w:color w:val="000000"/>
          <w:szCs w:val="24"/>
        </w:rPr>
        <w:t>種、</w:t>
      </w:r>
      <w:r w:rsidRPr="00791144">
        <w:rPr>
          <w:rFonts w:asciiTheme="minorBidi" w:eastAsia="新細明體" w:hAnsiTheme="minorBidi" w:cs="Times New Roman"/>
          <w:color w:val="000000"/>
          <w:szCs w:val="24"/>
        </w:rPr>
        <w:t>3</w:t>
      </w:r>
      <w:r w:rsidRPr="00791144">
        <w:rPr>
          <w:rFonts w:asciiTheme="minorBidi" w:eastAsia="新細明體" w:hAnsiTheme="minorBidi" w:cs="Times New Roman" w:hint="eastAsia"/>
          <w:color w:val="000000"/>
          <w:szCs w:val="24"/>
        </w:rPr>
        <w:t>種、</w:t>
      </w:r>
      <w:r w:rsidRPr="00791144">
        <w:rPr>
          <w:rFonts w:asciiTheme="minorBidi" w:eastAsia="新細明體" w:hAnsiTheme="minorBidi" w:cs="Times New Roman"/>
          <w:color w:val="000000"/>
          <w:szCs w:val="24"/>
        </w:rPr>
        <w:t>4</w:t>
      </w:r>
      <w:r w:rsidRPr="00791144">
        <w:rPr>
          <w:rFonts w:asciiTheme="minorBidi" w:eastAsia="新細明體" w:hAnsiTheme="minorBidi" w:cs="Times New Roman" w:hint="eastAsia"/>
          <w:color w:val="000000"/>
          <w:szCs w:val="24"/>
        </w:rPr>
        <w:t>種、</w:t>
      </w:r>
      <w:r w:rsidRPr="00791144">
        <w:rPr>
          <w:rFonts w:asciiTheme="minorBidi" w:eastAsia="新細明體" w:hAnsiTheme="minorBidi" w:cs="Times New Roman"/>
          <w:color w:val="000000"/>
          <w:szCs w:val="24"/>
        </w:rPr>
        <w:t>6</w:t>
      </w:r>
      <w:r w:rsidRPr="00791144">
        <w:rPr>
          <w:rFonts w:asciiTheme="minorBidi" w:eastAsia="新細明體" w:hAnsiTheme="minorBidi" w:cs="Times New Roman" w:hint="eastAsia"/>
          <w:color w:val="000000"/>
          <w:szCs w:val="24"/>
        </w:rPr>
        <w:t>種及</w:t>
      </w:r>
      <w:r w:rsidRPr="00791144">
        <w:rPr>
          <w:rFonts w:asciiTheme="minorBidi" w:eastAsia="新細明體" w:hAnsiTheme="minorBidi" w:cs="Times New Roman"/>
          <w:color w:val="000000"/>
          <w:szCs w:val="24"/>
        </w:rPr>
        <w:t>5</w:t>
      </w:r>
      <w:r w:rsidRPr="00791144">
        <w:rPr>
          <w:rFonts w:asciiTheme="minorBidi" w:eastAsia="新細明體" w:hAnsiTheme="minorBidi" w:cs="Times New Roman" w:hint="eastAsia"/>
          <w:color w:val="000000"/>
          <w:szCs w:val="24"/>
        </w:rPr>
        <w:t>種產品，則其產品組合的長度為</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color w:val="000000"/>
          <w:szCs w:val="24"/>
        </w:rPr>
        <w:t xml:space="preserve">25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color w:val="000000"/>
          <w:szCs w:val="24"/>
        </w:rPr>
        <w:t xml:space="preserve">20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color w:val="000000"/>
          <w:szCs w:val="24"/>
        </w:rPr>
        <w:t xml:space="preserve">15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color w:val="000000"/>
          <w:szCs w:val="24"/>
        </w:rPr>
        <w:t>10</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)28.</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行銷的</w:t>
      </w:r>
      <w:r w:rsidRPr="00791144">
        <w:rPr>
          <w:rFonts w:asciiTheme="minorBidi" w:eastAsia="新細明體" w:hAnsiTheme="minorBidi" w:cs="Times New Roman"/>
          <w:color w:val="000000"/>
          <w:szCs w:val="24"/>
        </w:rPr>
        <w:t>4P</w:t>
      </w:r>
      <w:r w:rsidRPr="00791144">
        <w:rPr>
          <w:rFonts w:asciiTheme="minorBidi" w:eastAsia="新細明體" w:hAnsiTheme="minorBidi" w:cs="Times New Roman" w:hint="eastAsia"/>
          <w:color w:val="000000"/>
          <w:szCs w:val="24"/>
        </w:rPr>
        <w:t>是指價格、通路、推廣及</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包裝</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品牌</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商標</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產品</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)29.</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市面上凡是新款手機或電腦一律是以高價格的方式進入市場，隨後再依競爭者的逐漸加入而慢慢調低價格，這類型的訂價方式是為？</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特殊活動特賣</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損益平衡訂價</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市場吸脂訂價</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產品線訂價</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)30.</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下列何種情形適用於吸脂訂價？</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生產者多的產品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具高品質形象的產品</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對價格敏感的消費者</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原料來源充足的產品</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)31.</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下列哪一種情形下可適用於市場吸脂訂價？</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替代品與選擇性少，導致消費沒有其他選擇</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為求短時間內獲得較高市場佔有率</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可刺激消費者的需求慾望</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不受科技改變影響，產品生命週期長</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)32.</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名牌服飾、高級香水的訂價一般是採行何種訂價方式？</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習慣價格訂價</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炫耀訂價</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追隨領袖價格訂價</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價格線訂價</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)33.</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小玲在幾年前買了一套總統就職紀念幣，售價一萬伍仟元，如今升值到三萬元，小玲打算以二萬九仟元將紀念幣售出，小玲是用何種訂價方式？</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心理折扣訂價</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名望訂價</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差別訂價</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畸零訂價</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)34.</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公司推出單價</w:t>
      </w:r>
      <w:r w:rsidRPr="00791144">
        <w:rPr>
          <w:rFonts w:asciiTheme="minorBidi" w:eastAsia="新細明體" w:hAnsiTheme="minorBidi" w:cs="Times New Roman"/>
          <w:color w:val="000000"/>
          <w:szCs w:val="24"/>
        </w:rPr>
        <w:t>100</w:t>
      </w:r>
      <w:r w:rsidRPr="00791144">
        <w:rPr>
          <w:rFonts w:asciiTheme="minorBidi" w:eastAsia="新細明體" w:hAnsiTheme="minorBidi" w:cs="Times New Roman" w:hint="eastAsia"/>
          <w:color w:val="000000"/>
          <w:szCs w:val="24"/>
        </w:rPr>
        <w:t>元的產品，需投入</w:t>
      </w:r>
      <w:r w:rsidRPr="00791144">
        <w:rPr>
          <w:rFonts w:asciiTheme="minorBidi" w:eastAsia="新細明體" w:hAnsiTheme="minorBidi" w:cs="Times New Roman"/>
          <w:color w:val="000000"/>
          <w:szCs w:val="24"/>
        </w:rPr>
        <w:t>120</w:t>
      </w:r>
      <w:r w:rsidRPr="00791144">
        <w:rPr>
          <w:rFonts w:asciiTheme="minorBidi" w:eastAsia="新細明體" w:hAnsiTheme="minorBidi" w:cs="Times New Roman" w:hint="eastAsia"/>
          <w:color w:val="000000"/>
          <w:szCs w:val="24"/>
        </w:rPr>
        <w:t>萬元總固定成本，而生產該產品的單位變動成本為</w:t>
      </w:r>
      <w:r w:rsidRPr="00791144">
        <w:rPr>
          <w:rFonts w:asciiTheme="minorBidi" w:eastAsia="新細明體" w:hAnsiTheme="minorBidi" w:cs="Times New Roman"/>
          <w:color w:val="000000"/>
          <w:szCs w:val="24"/>
        </w:rPr>
        <w:t>50</w:t>
      </w:r>
      <w:r w:rsidRPr="00791144">
        <w:rPr>
          <w:rFonts w:asciiTheme="minorBidi" w:eastAsia="新細明體" w:hAnsiTheme="minorBidi" w:cs="Times New Roman" w:hint="eastAsia"/>
          <w:color w:val="000000"/>
          <w:szCs w:val="24"/>
        </w:rPr>
        <w:t>元，則要銷售多少單位產品，才能達到</w:t>
      </w:r>
      <w:r w:rsidRPr="00791144">
        <w:rPr>
          <w:rFonts w:asciiTheme="minorBidi" w:eastAsia="新細明體" w:hAnsiTheme="minorBidi" w:cs="Times New Roman"/>
          <w:color w:val="000000"/>
          <w:szCs w:val="24"/>
        </w:rPr>
        <w:t>10</w:t>
      </w:r>
      <w:r w:rsidRPr="00791144">
        <w:rPr>
          <w:rFonts w:asciiTheme="minorBidi" w:eastAsia="新細明體" w:hAnsiTheme="minorBidi" w:cs="Times New Roman" w:hint="eastAsia"/>
          <w:color w:val="000000"/>
          <w:szCs w:val="24"/>
        </w:rPr>
        <w:t>萬元的目標利潤？</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color w:val="000000"/>
          <w:szCs w:val="24"/>
        </w:rPr>
        <w:t>20,000</w:t>
      </w:r>
      <w:r w:rsidRPr="00791144">
        <w:rPr>
          <w:rFonts w:asciiTheme="minorBidi" w:eastAsia="新細明體" w:hAnsiTheme="minorBidi" w:cs="Times New Roman" w:hint="eastAsia"/>
          <w:color w:val="000000"/>
          <w:szCs w:val="24"/>
        </w:rPr>
        <w:t>單位</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color w:val="000000"/>
          <w:szCs w:val="24"/>
        </w:rPr>
        <w:t>24,000</w:t>
      </w:r>
      <w:r w:rsidRPr="00791144">
        <w:rPr>
          <w:rFonts w:asciiTheme="minorBidi" w:eastAsia="新細明體" w:hAnsiTheme="minorBidi" w:cs="Times New Roman" w:hint="eastAsia"/>
          <w:color w:val="000000"/>
          <w:szCs w:val="24"/>
        </w:rPr>
        <w:t>單位</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color w:val="000000"/>
          <w:szCs w:val="24"/>
        </w:rPr>
        <w:t>26,000</w:t>
      </w:r>
      <w:r w:rsidRPr="00791144">
        <w:rPr>
          <w:rFonts w:asciiTheme="minorBidi" w:eastAsia="新細明體" w:hAnsiTheme="minorBidi" w:cs="Times New Roman" w:hint="eastAsia"/>
          <w:color w:val="000000"/>
          <w:szCs w:val="24"/>
        </w:rPr>
        <w:t>單位</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color w:val="000000"/>
          <w:szCs w:val="24"/>
        </w:rPr>
        <w:t>30,000</w:t>
      </w:r>
      <w:r w:rsidRPr="00791144">
        <w:rPr>
          <w:rFonts w:asciiTheme="minorBidi" w:eastAsia="新細明體" w:hAnsiTheme="minorBidi" w:cs="Times New Roman" w:hint="eastAsia"/>
          <w:color w:val="000000"/>
          <w:szCs w:val="24"/>
        </w:rPr>
        <w:t>單位</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)35.</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某公司總固定成本</w:t>
      </w:r>
      <w:r w:rsidRPr="00791144">
        <w:rPr>
          <w:rFonts w:asciiTheme="minorBidi" w:eastAsia="新細明體" w:hAnsiTheme="minorBidi" w:cs="Times New Roman"/>
          <w:color w:val="000000"/>
          <w:szCs w:val="24"/>
        </w:rPr>
        <w:t>16,000</w:t>
      </w:r>
      <w:r w:rsidRPr="00791144">
        <w:rPr>
          <w:rFonts w:asciiTheme="minorBidi" w:eastAsia="新細明體" w:hAnsiTheme="minorBidi" w:cs="Times New Roman" w:hint="eastAsia"/>
          <w:color w:val="000000"/>
          <w:szCs w:val="24"/>
        </w:rPr>
        <w:t>元，已知盈虧兩平產量</w:t>
      </w:r>
      <w:r w:rsidRPr="00791144">
        <w:rPr>
          <w:rFonts w:asciiTheme="minorBidi" w:eastAsia="新細明體" w:hAnsiTheme="minorBidi" w:cs="Times New Roman"/>
          <w:color w:val="000000"/>
          <w:szCs w:val="24"/>
        </w:rPr>
        <w:t>1,600</w:t>
      </w:r>
      <w:r w:rsidRPr="00791144">
        <w:rPr>
          <w:rFonts w:asciiTheme="minorBidi" w:eastAsia="新細明體" w:hAnsiTheme="minorBidi" w:cs="Times New Roman" w:hint="eastAsia"/>
          <w:color w:val="000000"/>
          <w:szCs w:val="24"/>
        </w:rPr>
        <w:t>單位、每單位變動成本為</w:t>
      </w:r>
      <w:r w:rsidRPr="00791144">
        <w:rPr>
          <w:rFonts w:asciiTheme="minorBidi" w:eastAsia="新細明體" w:hAnsiTheme="minorBidi" w:cs="Times New Roman"/>
          <w:color w:val="000000"/>
          <w:szCs w:val="24"/>
        </w:rPr>
        <w:t>40</w:t>
      </w:r>
      <w:r w:rsidRPr="00791144">
        <w:rPr>
          <w:rFonts w:asciiTheme="minorBidi" w:eastAsia="新細明體" w:hAnsiTheme="minorBidi" w:cs="Times New Roman" w:hint="eastAsia"/>
          <w:color w:val="000000"/>
          <w:szCs w:val="24"/>
        </w:rPr>
        <w:t>元，則產品每單位售價應為</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color w:val="000000"/>
          <w:szCs w:val="24"/>
        </w:rPr>
        <w:t>30</w:t>
      </w:r>
      <w:r w:rsidRPr="00791144">
        <w:rPr>
          <w:rFonts w:asciiTheme="minorBidi" w:eastAsia="新細明體" w:hAnsiTheme="minorBidi" w:cs="Times New Roman" w:hint="eastAsia"/>
          <w:color w:val="000000"/>
          <w:szCs w:val="24"/>
        </w:rPr>
        <w:t>元</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color w:val="000000"/>
          <w:szCs w:val="24"/>
        </w:rPr>
        <w:t>40</w:t>
      </w:r>
      <w:r w:rsidRPr="00791144">
        <w:rPr>
          <w:rFonts w:asciiTheme="minorBidi" w:eastAsia="新細明體" w:hAnsiTheme="minorBidi" w:cs="Times New Roman" w:hint="eastAsia"/>
          <w:color w:val="000000"/>
          <w:szCs w:val="24"/>
        </w:rPr>
        <w:t>元</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color w:val="000000"/>
          <w:szCs w:val="24"/>
        </w:rPr>
        <w:t>50</w:t>
      </w:r>
      <w:r w:rsidRPr="00791144">
        <w:rPr>
          <w:rFonts w:asciiTheme="minorBidi" w:eastAsia="新細明體" w:hAnsiTheme="minorBidi" w:cs="Times New Roman" w:hint="eastAsia"/>
          <w:color w:val="000000"/>
          <w:szCs w:val="24"/>
        </w:rPr>
        <w:t>元</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color w:val="000000"/>
          <w:szCs w:val="24"/>
        </w:rPr>
        <w:t>60</w:t>
      </w:r>
      <w:r w:rsidRPr="00791144">
        <w:rPr>
          <w:rFonts w:asciiTheme="minorBidi" w:eastAsia="新細明體" w:hAnsiTheme="minorBidi" w:cs="Times New Roman" w:hint="eastAsia"/>
          <w:color w:val="000000"/>
          <w:szCs w:val="24"/>
        </w:rPr>
        <w:t>元</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)36.</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乙公司推出</w:t>
      </w:r>
      <w:r w:rsidRPr="00791144">
        <w:rPr>
          <w:rFonts w:asciiTheme="minorBidi" w:eastAsia="新細明體" w:hAnsiTheme="minorBidi" w:cs="Times New Roman"/>
          <w:color w:val="000000"/>
          <w:szCs w:val="24"/>
        </w:rPr>
        <w:t>A</w:t>
      </w:r>
      <w:r w:rsidRPr="00791144">
        <w:rPr>
          <w:rFonts w:asciiTheme="minorBidi" w:eastAsia="新細明體" w:hAnsiTheme="minorBidi" w:cs="Times New Roman" w:hint="eastAsia"/>
          <w:color w:val="000000"/>
          <w:szCs w:val="24"/>
        </w:rPr>
        <w:t>產品，單位售價為</w:t>
      </w:r>
      <w:r w:rsidRPr="00791144">
        <w:rPr>
          <w:rFonts w:asciiTheme="minorBidi" w:eastAsia="新細明體" w:hAnsiTheme="minorBidi" w:cs="Times New Roman"/>
          <w:color w:val="000000"/>
          <w:szCs w:val="24"/>
        </w:rPr>
        <w:t>200</w:t>
      </w:r>
      <w:r w:rsidRPr="00791144">
        <w:rPr>
          <w:rFonts w:asciiTheme="minorBidi" w:eastAsia="新細明體" w:hAnsiTheme="minorBidi" w:cs="Times New Roman" w:hint="eastAsia"/>
          <w:color w:val="000000"/>
          <w:szCs w:val="24"/>
        </w:rPr>
        <w:t>元，單位變動成本</w:t>
      </w:r>
      <w:r w:rsidRPr="00791144">
        <w:rPr>
          <w:rFonts w:asciiTheme="minorBidi" w:eastAsia="新細明體" w:hAnsiTheme="minorBidi" w:cs="Times New Roman"/>
          <w:color w:val="000000"/>
          <w:szCs w:val="24"/>
        </w:rPr>
        <w:t>60</w:t>
      </w:r>
      <w:r w:rsidRPr="00791144">
        <w:rPr>
          <w:rFonts w:asciiTheme="minorBidi" w:eastAsia="新細明體" w:hAnsiTheme="minorBidi" w:cs="Times New Roman" w:hint="eastAsia"/>
          <w:color w:val="000000"/>
          <w:szCs w:val="24"/>
        </w:rPr>
        <w:t>元，總固定成本為</w:t>
      </w:r>
      <w:r w:rsidRPr="00791144">
        <w:rPr>
          <w:rFonts w:asciiTheme="minorBidi" w:eastAsia="新細明體" w:hAnsiTheme="minorBidi" w:cs="Times New Roman"/>
          <w:color w:val="000000"/>
          <w:szCs w:val="24"/>
        </w:rPr>
        <w:t>280</w:t>
      </w:r>
      <w:r w:rsidRPr="00791144">
        <w:rPr>
          <w:rFonts w:asciiTheme="minorBidi" w:eastAsia="新細明體" w:hAnsiTheme="minorBidi" w:cs="Times New Roman" w:hint="eastAsia"/>
          <w:color w:val="000000"/>
          <w:szCs w:val="24"/>
        </w:rPr>
        <w:t>萬元，該公司要銷售多少單位的</w:t>
      </w:r>
      <w:r w:rsidRPr="00791144">
        <w:rPr>
          <w:rFonts w:asciiTheme="minorBidi" w:eastAsia="新細明體" w:hAnsiTheme="minorBidi" w:cs="Times New Roman"/>
          <w:color w:val="000000"/>
          <w:szCs w:val="24"/>
        </w:rPr>
        <w:t>A</w:t>
      </w:r>
      <w:r w:rsidRPr="00791144">
        <w:rPr>
          <w:rFonts w:asciiTheme="minorBidi" w:eastAsia="新細明體" w:hAnsiTheme="minorBidi" w:cs="Times New Roman" w:hint="eastAsia"/>
          <w:color w:val="000000"/>
          <w:szCs w:val="24"/>
        </w:rPr>
        <w:t>產品才能達到</w:t>
      </w:r>
      <w:r w:rsidRPr="00791144">
        <w:rPr>
          <w:rFonts w:asciiTheme="minorBidi" w:eastAsia="新細明體" w:hAnsiTheme="minorBidi" w:cs="Times New Roman"/>
          <w:color w:val="000000"/>
          <w:szCs w:val="24"/>
        </w:rPr>
        <w:t>70</w:t>
      </w:r>
      <w:r w:rsidRPr="00791144">
        <w:rPr>
          <w:rFonts w:asciiTheme="minorBidi" w:eastAsia="新細明體" w:hAnsiTheme="minorBidi" w:cs="Times New Roman" w:hint="eastAsia"/>
          <w:color w:val="000000"/>
          <w:szCs w:val="24"/>
        </w:rPr>
        <w:t>萬元的目標利潤？</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color w:val="000000"/>
          <w:szCs w:val="24"/>
        </w:rPr>
        <w:t>25,000</w:t>
      </w:r>
      <w:r w:rsidRPr="00791144">
        <w:rPr>
          <w:rFonts w:asciiTheme="minorBidi" w:eastAsia="新細明體" w:hAnsiTheme="minorBidi" w:cs="Times New Roman" w:hint="eastAsia"/>
          <w:color w:val="000000"/>
          <w:szCs w:val="24"/>
        </w:rPr>
        <w:t>單位</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color w:val="000000"/>
          <w:szCs w:val="24"/>
        </w:rPr>
        <w:t>20,000</w:t>
      </w:r>
      <w:r w:rsidRPr="00791144">
        <w:rPr>
          <w:rFonts w:asciiTheme="minorBidi" w:eastAsia="新細明體" w:hAnsiTheme="minorBidi" w:cs="Times New Roman" w:hint="eastAsia"/>
          <w:color w:val="000000"/>
          <w:szCs w:val="24"/>
        </w:rPr>
        <w:t>單位</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color w:val="000000"/>
          <w:szCs w:val="24"/>
        </w:rPr>
        <w:t>14,600</w:t>
      </w:r>
      <w:r w:rsidRPr="00791144">
        <w:rPr>
          <w:rFonts w:asciiTheme="minorBidi" w:eastAsia="新細明體" w:hAnsiTheme="minorBidi" w:cs="Times New Roman" w:hint="eastAsia"/>
          <w:color w:val="000000"/>
          <w:szCs w:val="24"/>
        </w:rPr>
        <w:t>單位</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color w:val="000000"/>
          <w:szCs w:val="24"/>
        </w:rPr>
        <w:t>10,770</w:t>
      </w:r>
      <w:r w:rsidRPr="00791144">
        <w:rPr>
          <w:rFonts w:asciiTheme="minorBidi" w:eastAsia="新細明體" w:hAnsiTheme="minorBidi" w:cs="Times New Roman" w:hint="eastAsia"/>
          <w:color w:val="000000"/>
          <w:szCs w:val="24"/>
        </w:rPr>
        <w:t>單位</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)37.</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化妝品公司的廣告中強調「我們賣的不是化妝品，而是青春與美麗」，此種行銷觀念為</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生產導向</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銷售導向</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行銷導向</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社會行銷導向</w:t>
      </w:r>
      <w:r w:rsidRPr="00791144">
        <w:rPr>
          <w:rFonts w:asciiTheme="minorBidi" w:eastAsia="新細明體" w:hAnsiTheme="minorBidi"/>
          <w:szCs w:val="24"/>
        </w:rPr>
        <w:t xml:space="preserve"> </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)38.</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我國汽油市場開放民營初期，出現激烈競爭的現象，當時某公司採用低價滲透策略搶攻市場，從行銷管理的觀點，這是屬於下列何種策略？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產品策略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訂價策略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通路策略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推廣策略</w:t>
      </w:r>
      <w:r w:rsidRPr="00791144">
        <w:rPr>
          <w:rFonts w:asciiTheme="minorBidi" w:eastAsia="新細明體" w:hAnsiTheme="minorBidi"/>
          <w:szCs w:val="24"/>
        </w:rPr>
        <w:t xml:space="preserve"> </w:t>
      </w:r>
    </w:p>
    <w:p w:rsidR="00791144" w:rsidRDefault="00791144" w:rsidP="00791144">
      <w:pPr>
        <w:autoSpaceDE w:val="0"/>
        <w:autoSpaceDN w:val="0"/>
        <w:adjustRightInd w:val="0"/>
        <w:ind w:left="1080" w:hanging="1080"/>
        <w:rPr>
          <w:rFonts w:asciiTheme="minorBidi" w:eastAsia="新細明體" w:hAnsiTheme="minorBidi" w:cs="Times New Roman"/>
          <w:color w:val="000000"/>
          <w:szCs w:val="24"/>
        </w:rPr>
      </w:pPr>
      <w:r w:rsidRPr="00791144">
        <w:rPr>
          <w:rFonts w:asciiTheme="minorBidi" w:eastAsia="新細明體" w:hAnsiTheme="minorBidi"/>
          <w:szCs w:val="24"/>
        </w:rPr>
        <w:t>(    )39.</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日產</w:t>
      </w:r>
      <w:r w:rsidRPr="00791144">
        <w:rPr>
          <w:rFonts w:asciiTheme="minorBidi" w:eastAsia="新細明體" w:hAnsiTheme="minorBidi" w:cs="Times New Roman"/>
          <w:color w:val="000000"/>
          <w:szCs w:val="24"/>
        </w:rPr>
        <w:t>Cefiro3000c.c.</w:t>
      </w:r>
      <w:r w:rsidRPr="00791144">
        <w:rPr>
          <w:rFonts w:asciiTheme="minorBidi" w:eastAsia="新細明體" w:hAnsiTheme="minorBidi" w:cs="Times New Roman" w:hint="eastAsia"/>
          <w:color w:val="000000"/>
          <w:szCs w:val="24"/>
        </w:rPr>
        <w:t>轎車以低於一百萬價位搶攻原來高級進口轎車市場，造成高級轎車市場重新洗牌，這是屬於哪一種定價策略？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(A)</w:t>
      </w:r>
      <w:r w:rsidRPr="00791144">
        <w:rPr>
          <w:rFonts w:asciiTheme="minorBidi" w:eastAsia="新細明體" w:hAnsiTheme="minorBidi" w:cs="Times New Roman" w:hint="eastAsia"/>
          <w:color w:val="000000"/>
          <w:szCs w:val="24"/>
        </w:rPr>
        <w:t>滲透定價策略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差別定價策略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折扣定價策略</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成本導向定價策略。</w:t>
      </w:r>
    </w:p>
    <w:p w:rsidR="00791144" w:rsidRPr="00791144" w:rsidRDefault="00791144" w:rsidP="00791144">
      <w:pPr>
        <w:autoSpaceDE w:val="0"/>
        <w:autoSpaceDN w:val="0"/>
        <w:adjustRightInd w:val="0"/>
        <w:ind w:left="1080" w:hanging="1080"/>
        <w:rPr>
          <w:rFonts w:asciiTheme="minorBidi" w:eastAsia="新細明體" w:hAnsiTheme="minorBidi"/>
          <w:szCs w:val="24"/>
        </w:rPr>
      </w:pPr>
      <w:r w:rsidRPr="00791144">
        <w:rPr>
          <w:rFonts w:asciiTheme="minorBidi" w:eastAsia="新細明體" w:hAnsiTheme="minorBidi"/>
          <w:szCs w:val="24"/>
        </w:rPr>
        <w:t>(    )40.</w:t>
      </w:r>
      <w:r w:rsidRPr="00791144">
        <w:rPr>
          <w:rFonts w:asciiTheme="minorBidi" w:eastAsia="新細明體" w:hAnsiTheme="minorBidi"/>
          <w:szCs w:val="24"/>
        </w:rPr>
        <w:tab/>
      </w:r>
      <w:r w:rsidRPr="00791144">
        <w:rPr>
          <w:rFonts w:asciiTheme="minorBidi" w:eastAsia="新細明體" w:hAnsiTheme="minorBidi" w:cs="Times New Roman" w:hint="eastAsia"/>
          <w:color w:val="000000"/>
          <w:szCs w:val="24"/>
        </w:rPr>
        <w:t>商品常常定價為</w:t>
      </w:r>
      <w:r w:rsidRPr="00791144">
        <w:rPr>
          <w:rFonts w:asciiTheme="minorBidi" w:eastAsia="新細明體" w:hAnsiTheme="minorBidi" w:cs="Times New Roman"/>
          <w:color w:val="000000"/>
          <w:szCs w:val="24"/>
        </w:rPr>
        <w:t>99</w:t>
      </w:r>
      <w:r w:rsidRPr="00791144">
        <w:rPr>
          <w:rFonts w:asciiTheme="minorBidi" w:eastAsia="新細明體" w:hAnsiTheme="minorBidi" w:cs="Times New Roman" w:hint="eastAsia"/>
          <w:color w:val="000000"/>
          <w:szCs w:val="24"/>
        </w:rPr>
        <w:t>元、</w:t>
      </w:r>
      <w:r w:rsidRPr="00791144">
        <w:rPr>
          <w:rFonts w:asciiTheme="minorBidi" w:eastAsia="新細明體" w:hAnsiTheme="minorBidi" w:cs="Times New Roman"/>
          <w:color w:val="000000"/>
          <w:szCs w:val="24"/>
        </w:rPr>
        <w:t>199</w:t>
      </w:r>
      <w:r w:rsidRPr="00791144">
        <w:rPr>
          <w:rFonts w:asciiTheme="minorBidi" w:eastAsia="新細明體" w:hAnsiTheme="minorBidi" w:cs="Times New Roman" w:hint="eastAsia"/>
          <w:color w:val="000000"/>
          <w:szCs w:val="24"/>
        </w:rPr>
        <w:t>元、</w:t>
      </w:r>
      <w:r w:rsidRPr="00791144">
        <w:rPr>
          <w:rFonts w:asciiTheme="minorBidi" w:eastAsia="新細明體" w:hAnsiTheme="minorBidi" w:cs="Times New Roman"/>
          <w:color w:val="000000"/>
          <w:szCs w:val="24"/>
        </w:rPr>
        <w:t>299</w:t>
      </w:r>
      <w:r w:rsidRPr="00791144">
        <w:rPr>
          <w:rFonts w:asciiTheme="minorBidi" w:eastAsia="新細明體" w:hAnsiTheme="minorBidi" w:cs="Times New Roman" w:hint="eastAsia"/>
          <w:color w:val="000000"/>
          <w:szCs w:val="24"/>
        </w:rPr>
        <w:t>元等，請問這種定價屬於？</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Theme="minorBidi" w:eastAsia="新細明體" w:hAnsiTheme="minorBidi"/>
          <w:szCs w:val="24"/>
        </w:rPr>
        <w:br/>
        <w:t>(A)</w:t>
      </w:r>
      <w:r w:rsidRPr="00791144">
        <w:rPr>
          <w:rFonts w:asciiTheme="minorBidi" w:eastAsia="新細明體" w:hAnsiTheme="minorBidi" w:cs="Times New Roman" w:hint="eastAsia"/>
          <w:color w:val="000000"/>
          <w:szCs w:val="24"/>
        </w:rPr>
        <w:t>差別定價法</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(B)</w:t>
      </w:r>
      <w:r w:rsidRPr="00791144">
        <w:rPr>
          <w:rFonts w:asciiTheme="minorBidi" w:eastAsia="新細明體" w:hAnsiTheme="minorBidi" w:cs="Times New Roman" w:hint="eastAsia"/>
          <w:color w:val="000000"/>
          <w:szCs w:val="24"/>
        </w:rPr>
        <w:t>畸零定價法</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(C)</w:t>
      </w:r>
      <w:r w:rsidRPr="00791144">
        <w:rPr>
          <w:rFonts w:asciiTheme="minorBidi" w:eastAsia="新細明體" w:hAnsiTheme="minorBidi" w:cs="Times New Roman" w:hint="eastAsia"/>
          <w:color w:val="000000"/>
          <w:szCs w:val="24"/>
        </w:rPr>
        <w:t>促銷定價法</w:t>
      </w:r>
      <w:r w:rsidRPr="00791144">
        <w:rPr>
          <w:rFonts w:asciiTheme="minorBidi" w:eastAsia="新細明體" w:hAnsiTheme="minorBidi" w:cs="Times New Roman"/>
          <w:color w:val="000000"/>
          <w:szCs w:val="24"/>
        </w:rPr>
        <w:t xml:space="preserve">  </w:t>
      </w:r>
      <w:r w:rsidRPr="00791144">
        <w:rPr>
          <w:rFonts w:asciiTheme="minorBidi" w:eastAsia="新細明體" w:hAnsiTheme="minorBidi"/>
          <w:szCs w:val="24"/>
        </w:rPr>
        <w:t xml:space="preserve"> </w:t>
      </w:r>
      <w:r w:rsidRPr="00791144">
        <w:rPr>
          <w:rFonts w:ascii="Arial" w:eastAsia="新細明體" w:hAnsi="Arial" w:hint="eastAsia"/>
          <w:szCs w:val="24"/>
        </w:rPr>
        <w:t xml:space="preserve">　</w:t>
      </w:r>
      <w:r w:rsidRPr="00791144">
        <w:rPr>
          <w:rFonts w:asciiTheme="minorBidi" w:eastAsia="新細明體" w:hAnsiTheme="minorBidi"/>
          <w:szCs w:val="24"/>
        </w:rPr>
        <w:t>(D)</w:t>
      </w:r>
      <w:r w:rsidRPr="00791144">
        <w:rPr>
          <w:rFonts w:asciiTheme="minorBidi" w:eastAsia="新細明體" w:hAnsiTheme="minorBidi" w:cs="Times New Roman" w:hint="eastAsia"/>
          <w:color w:val="000000"/>
          <w:szCs w:val="24"/>
        </w:rPr>
        <w:t>競標訂價法</w:t>
      </w:r>
      <w:r w:rsidRPr="00791144">
        <w:rPr>
          <w:rFonts w:asciiTheme="minorBidi" w:eastAsia="新細明體" w:hAnsiTheme="minorBidi"/>
          <w:szCs w:val="24"/>
        </w:rPr>
        <w:t xml:space="preserve"> </w:t>
      </w:r>
    </w:p>
    <w:p w:rsidR="003763D4" w:rsidRPr="00556CD4" w:rsidRDefault="003763D4" w:rsidP="003763D4">
      <w:pPr>
        <w:autoSpaceDE w:val="0"/>
        <w:autoSpaceDN w:val="0"/>
        <w:adjustRightInd w:val="0"/>
        <w:ind w:left="1080" w:hanging="1080"/>
        <w:rPr>
          <w:rFonts w:cs="Times New Roman"/>
        </w:rPr>
      </w:pPr>
    </w:p>
    <w:p w:rsidR="004B7DA9" w:rsidRPr="003763D4" w:rsidRDefault="004B7DA9" w:rsidP="00B335B2">
      <w:pPr>
        <w:tabs>
          <w:tab w:val="left" w:pos="1134"/>
          <w:tab w:val="left" w:pos="3294"/>
          <w:tab w:val="left" w:pos="5454"/>
          <w:tab w:val="left" w:pos="7614"/>
        </w:tabs>
        <w:snapToGrid w:val="0"/>
        <w:spacing w:line="360" w:lineRule="auto"/>
        <w:ind w:left="1191" w:hanging="1191"/>
      </w:pPr>
    </w:p>
    <w:sectPr w:rsidR="004B7DA9" w:rsidRPr="003763D4" w:rsidSect="006D2D82">
      <w:footerReference w:type="default" r:id="rId7"/>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6925" w:rsidRDefault="00E16925" w:rsidP="00DC4D13">
      <w:r>
        <w:separator/>
      </w:r>
    </w:p>
  </w:endnote>
  <w:endnote w:type="continuationSeparator" w:id="0">
    <w:p w:rsidR="00E16925" w:rsidRDefault="00E16925"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文鼎中明">
    <w:panose1 w:val="00000000000000000000"/>
    <w:charset w:val="88"/>
    <w:family w:val="modern"/>
    <w:notTrueType/>
    <w:pitch w:val="fixed"/>
    <w:sig w:usb0="00000001" w:usb1="08080000" w:usb2="00000010"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華康標楷體">
    <w:altName w:val="Arial Unicode MS"/>
    <w:charset w:val="88"/>
    <w:family w:val="script"/>
    <w:pitch w:val="fixed"/>
    <w:sig w:usb0="00000000" w:usb1="28091800" w:usb2="00000016" w:usb3="00000000" w:csb0="00100000" w:csb1="00000000"/>
  </w:font>
  <w:font w:name="ATC-*Q1-SP">
    <w:altName w:val="微軟正黑體"/>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0859029"/>
      <w:docPartObj>
        <w:docPartGallery w:val="Page Numbers (Bottom of Page)"/>
        <w:docPartUnique/>
      </w:docPartObj>
    </w:sdtPr>
    <w:sdtEndPr/>
    <w:sdtContent>
      <w:p w:rsidR="00900F15" w:rsidRDefault="00900F15">
        <w:pPr>
          <w:pStyle w:val="a7"/>
          <w:jc w:val="center"/>
        </w:pPr>
        <w:r>
          <w:fldChar w:fldCharType="begin"/>
        </w:r>
        <w:r>
          <w:instrText>PAGE   \* MERGEFORMAT</w:instrText>
        </w:r>
        <w:r>
          <w:fldChar w:fldCharType="separate"/>
        </w:r>
        <w:r w:rsidR="00072B75" w:rsidRPr="00072B75">
          <w:rPr>
            <w:noProof/>
            <w:lang w:val="zh-TW"/>
          </w:rPr>
          <w:t>2</w:t>
        </w:r>
        <w:r>
          <w:fldChar w:fldCharType="end"/>
        </w:r>
      </w:p>
    </w:sdtContent>
  </w:sdt>
  <w:p w:rsidR="00900F15" w:rsidRDefault="00900F15">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6925" w:rsidRDefault="00E16925" w:rsidP="00DC4D13">
      <w:r>
        <w:separator/>
      </w:r>
    </w:p>
  </w:footnote>
  <w:footnote w:type="continuationSeparator" w:id="0">
    <w:p w:rsidR="00E16925" w:rsidRDefault="00E16925"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41A74"/>
    <w:rsid w:val="00072B75"/>
    <w:rsid w:val="000E424F"/>
    <w:rsid w:val="00115BD3"/>
    <w:rsid w:val="00126A3C"/>
    <w:rsid w:val="00162D29"/>
    <w:rsid w:val="001A4D10"/>
    <w:rsid w:val="001C7761"/>
    <w:rsid w:val="001E05C3"/>
    <w:rsid w:val="00244EE4"/>
    <w:rsid w:val="00277FB7"/>
    <w:rsid w:val="0031673D"/>
    <w:rsid w:val="00326123"/>
    <w:rsid w:val="003763D4"/>
    <w:rsid w:val="003C799A"/>
    <w:rsid w:val="004645FA"/>
    <w:rsid w:val="0046782F"/>
    <w:rsid w:val="0048261B"/>
    <w:rsid w:val="004863A4"/>
    <w:rsid w:val="004937AE"/>
    <w:rsid w:val="004B7DA9"/>
    <w:rsid w:val="004E36BA"/>
    <w:rsid w:val="00502603"/>
    <w:rsid w:val="00556885"/>
    <w:rsid w:val="00556CD4"/>
    <w:rsid w:val="00595FD5"/>
    <w:rsid w:val="005B0AF5"/>
    <w:rsid w:val="005E5B99"/>
    <w:rsid w:val="006553C0"/>
    <w:rsid w:val="006731BF"/>
    <w:rsid w:val="006D2D82"/>
    <w:rsid w:val="006E1E28"/>
    <w:rsid w:val="00743A28"/>
    <w:rsid w:val="00791144"/>
    <w:rsid w:val="007A3C09"/>
    <w:rsid w:val="007B3B09"/>
    <w:rsid w:val="00842505"/>
    <w:rsid w:val="008679D5"/>
    <w:rsid w:val="008913D0"/>
    <w:rsid w:val="008E572C"/>
    <w:rsid w:val="009004D9"/>
    <w:rsid w:val="00900F15"/>
    <w:rsid w:val="009113B3"/>
    <w:rsid w:val="0091479F"/>
    <w:rsid w:val="00915D4D"/>
    <w:rsid w:val="00932CEA"/>
    <w:rsid w:val="009C6EC2"/>
    <w:rsid w:val="009D08BC"/>
    <w:rsid w:val="009E38EE"/>
    <w:rsid w:val="009E61CF"/>
    <w:rsid w:val="00A140E1"/>
    <w:rsid w:val="00AF17B1"/>
    <w:rsid w:val="00B335B2"/>
    <w:rsid w:val="00BC1EE5"/>
    <w:rsid w:val="00BD75F6"/>
    <w:rsid w:val="00C23E24"/>
    <w:rsid w:val="00C925C3"/>
    <w:rsid w:val="00CA1D75"/>
    <w:rsid w:val="00CC5809"/>
    <w:rsid w:val="00DA4A38"/>
    <w:rsid w:val="00DC4D13"/>
    <w:rsid w:val="00E16925"/>
    <w:rsid w:val="00E47D4B"/>
    <w:rsid w:val="00E573E0"/>
    <w:rsid w:val="00E65A7C"/>
    <w:rsid w:val="00EB5FBF"/>
    <w:rsid w:val="00F024C3"/>
    <w:rsid w:val="00F26122"/>
    <w:rsid w:val="00F5787B"/>
    <w:rsid w:val="00F70669"/>
    <w:rsid w:val="00F7477C"/>
    <w:rsid w:val="00FB6136"/>
    <w:rsid w:val="00FD41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9DB03F3-8F20-448E-B65B-A568B8B5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 w:type="character" w:customStyle="1" w:styleId="Ans1">
    <w:name w:val="Ans1"/>
    <w:rsid w:val="004645FA"/>
    <w:rPr>
      <w:color w:val="FF5000"/>
      <w:lang w:val="zh-TW"/>
    </w:rPr>
  </w:style>
  <w:style w:type="character" w:customStyle="1" w:styleId="Q1-SP">
    <w:name w:val="Q1-SP"/>
    <w:rsid w:val="004645FA"/>
    <w:rPr>
      <w:rFonts w:ascii="Arial" w:eastAsia="華康標楷體" w:hAnsi="Arial" w:cs="ATC-*Q1-SP" w:hint="default"/>
      <w:color w:val="66328F"/>
    </w:rPr>
  </w:style>
  <w:style w:type="character" w:customStyle="1" w:styleId="ad">
    <w:name w:val="底線"/>
    <w:rsid w:val="004645FA"/>
    <w:rPr>
      <w:u w:val="double"/>
    </w:rPr>
  </w:style>
  <w:style w:type="character" w:customStyle="1" w:styleId="Ans">
    <w:name w:val="Ans"/>
    <w:rsid w:val="00FD4138"/>
    <w:rPr>
      <w:color w:val="FF5000"/>
      <w:lang w:val="zh-TW"/>
    </w:rPr>
  </w:style>
  <w:style w:type="character" w:customStyle="1" w:styleId="sup">
    <w:name w:val="sup"/>
    <w:rsid w:val="00FD4138"/>
    <w:rPr>
      <w:vertAlign w:val="superscript"/>
    </w:rPr>
  </w:style>
  <w:style w:type="character" w:customStyle="1" w:styleId="box">
    <w:name w:val="box"/>
    <w:rsid w:val="00556885"/>
    <w:rPr>
      <w:rFonts w:ascii="Times New Roman" w:eastAsia="華康標楷體" w:hAnsi="Times New Roman" w:cs="Times New Roman" w:hint="default"/>
      <w:color w:val="auto"/>
    </w:rPr>
  </w:style>
  <w:style w:type="table" w:styleId="ae">
    <w:name w:val="Table Grid"/>
    <w:basedOn w:val="a1"/>
    <w:uiPriority w:val="59"/>
    <w:rsid w:val="005B0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122895385">
      <w:bodyDiv w:val="1"/>
      <w:marLeft w:val="0"/>
      <w:marRight w:val="0"/>
      <w:marTop w:val="0"/>
      <w:marBottom w:val="0"/>
      <w:divBdr>
        <w:top w:val="none" w:sz="0" w:space="0" w:color="auto"/>
        <w:left w:val="none" w:sz="0" w:space="0" w:color="auto"/>
        <w:bottom w:val="none" w:sz="0" w:space="0" w:color="auto"/>
        <w:right w:val="none" w:sz="0" w:space="0" w:color="auto"/>
      </w:divBdr>
    </w:div>
    <w:div w:id="190413738">
      <w:bodyDiv w:val="1"/>
      <w:marLeft w:val="0"/>
      <w:marRight w:val="0"/>
      <w:marTop w:val="0"/>
      <w:marBottom w:val="0"/>
      <w:divBdr>
        <w:top w:val="none" w:sz="0" w:space="0" w:color="auto"/>
        <w:left w:val="none" w:sz="0" w:space="0" w:color="auto"/>
        <w:bottom w:val="none" w:sz="0" w:space="0" w:color="auto"/>
        <w:right w:val="none" w:sz="0" w:space="0" w:color="auto"/>
      </w:divBdr>
    </w:div>
    <w:div w:id="228660197">
      <w:bodyDiv w:val="1"/>
      <w:marLeft w:val="0"/>
      <w:marRight w:val="0"/>
      <w:marTop w:val="0"/>
      <w:marBottom w:val="0"/>
      <w:divBdr>
        <w:top w:val="none" w:sz="0" w:space="0" w:color="auto"/>
        <w:left w:val="none" w:sz="0" w:space="0" w:color="auto"/>
        <w:bottom w:val="none" w:sz="0" w:space="0" w:color="auto"/>
        <w:right w:val="none" w:sz="0" w:space="0" w:color="auto"/>
      </w:divBdr>
    </w:div>
    <w:div w:id="349188481">
      <w:bodyDiv w:val="1"/>
      <w:marLeft w:val="0"/>
      <w:marRight w:val="0"/>
      <w:marTop w:val="0"/>
      <w:marBottom w:val="0"/>
      <w:divBdr>
        <w:top w:val="none" w:sz="0" w:space="0" w:color="auto"/>
        <w:left w:val="none" w:sz="0" w:space="0" w:color="auto"/>
        <w:bottom w:val="none" w:sz="0" w:space="0" w:color="auto"/>
        <w:right w:val="none" w:sz="0" w:space="0" w:color="auto"/>
      </w:divBdr>
    </w:div>
    <w:div w:id="850678976">
      <w:bodyDiv w:val="1"/>
      <w:marLeft w:val="0"/>
      <w:marRight w:val="0"/>
      <w:marTop w:val="0"/>
      <w:marBottom w:val="0"/>
      <w:divBdr>
        <w:top w:val="none" w:sz="0" w:space="0" w:color="auto"/>
        <w:left w:val="none" w:sz="0" w:space="0" w:color="auto"/>
        <w:bottom w:val="none" w:sz="0" w:space="0" w:color="auto"/>
        <w:right w:val="none" w:sz="0" w:space="0" w:color="auto"/>
      </w:divBdr>
    </w:div>
    <w:div w:id="922184741">
      <w:bodyDiv w:val="1"/>
      <w:marLeft w:val="0"/>
      <w:marRight w:val="0"/>
      <w:marTop w:val="0"/>
      <w:marBottom w:val="0"/>
      <w:divBdr>
        <w:top w:val="none" w:sz="0" w:space="0" w:color="auto"/>
        <w:left w:val="none" w:sz="0" w:space="0" w:color="auto"/>
        <w:bottom w:val="none" w:sz="0" w:space="0" w:color="auto"/>
        <w:right w:val="none" w:sz="0" w:space="0" w:color="auto"/>
      </w:divBdr>
    </w:div>
    <w:div w:id="1008872787">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275558095">
      <w:bodyDiv w:val="1"/>
      <w:marLeft w:val="0"/>
      <w:marRight w:val="0"/>
      <w:marTop w:val="0"/>
      <w:marBottom w:val="0"/>
      <w:divBdr>
        <w:top w:val="none" w:sz="0" w:space="0" w:color="auto"/>
        <w:left w:val="none" w:sz="0" w:space="0" w:color="auto"/>
        <w:bottom w:val="none" w:sz="0" w:space="0" w:color="auto"/>
        <w:right w:val="none" w:sz="0" w:space="0" w:color="auto"/>
      </w:divBdr>
    </w:div>
    <w:div w:id="1375542285">
      <w:bodyDiv w:val="1"/>
      <w:marLeft w:val="0"/>
      <w:marRight w:val="0"/>
      <w:marTop w:val="0"/>
      <w:marBottom w:val="0"/>
      <w:divBdr>
        <w:top w:val="none" w:sz="0" w:space="0" w:color="auto"/>
        <w:left w:val="none" w:sz="0" w:space="0" w:color="auto"/>
        <w:bottom w:val="none" w:sz="0" w:space="0" w:color="auto"/>
        <w:right w:val="none" w:sz="0" w:space="0" w:color="auto"/>
      </w:divBdr>
    </w:div>
    <w:div w:id="1469468267">
      <w:bodyDiv w:val="1"/>
      <w:marLeft w:val="0"/>
      <w:marRight w:val="0"/>
      <w:marTop w:val="0"/>
      <w:marBottom w:val="0"/>
      <w:divBdr>
        <w:top w:val="none" w:sz="0" w:space="0" w:color="auto"/>
        <w:left w:val="none" w:sz="0" w:space="0" w:color="auto"/>
        <w:bottom w:val="none" w:sz="0" w:space="0" w:color="auto"/>
        <w:right w:val="none" w:sz="0" w:space="0" w:color="auto"/>
      </w:divBdr>
    </w:div>
    <w:div w:id="1551263471">
      <w:bodyDiv w:val="1"/>
      <w:marLeft w:val="0"/>
      <w:marRight w:val="0"/>
      <w:marTop w:val="0"/>
      <w:marBottom w:val="0"/>
      <w:divBdr>
        <w:top w:val="none" w:sz="0" w:space="0" w:color="auto"/>
        <w:left w:val="none" w:sz="0" w:space="0" w:color="auto"/>
        <w:bottom w:val="none" w:sz="0" w:space="0" w:color="auto"/>
        <w:right w:val="none" w:sz="0" w:space="0" w:color="auto"/>
      </w:divBdr>
    </w:div>
    <w:div w:id="1925722752">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26415E-DE34-4F7C-8467-DCFF4BD90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win7</cp:lastModifiedBy>
  <cp:revision>5</cp:revision>
  <dcterms:created xsi:type="dcterms:W3CDTF">2020-03-19T05:27:00Z</dcterms:created>
  <dcterms:modified xsi:type="dcterms:W3CDTF">2020-03-19T05:39:00Z</dcterms:modified>
</cp:coreProperties>
</file>