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CB6" w:rsidRPr="006D24DB" w:rsidRDefault="00C96646">
      <w:pPr>
        <w:spacing w:before="800"/>
        <w:jc w:val="center"/>
        <w:rPr>
          <w:lang w:val="es-BO"/>
        </w:rPr>
      </w:pPr>
      <w:r w:rsidRPr="006D24DB">
        <w:rPr>
          <w:b/>
          <w:color w:val="1E3A5F"/>
          <w:sz w:val="40"/>
          <w:lang w:val="es-BO"/>
        </w:rPr>
        <w:t>INFORME ÉTICO Y DE GOBERNANZA</w:t>
      </w:r>
    </w:p>
    <w:p w:rsidR="00F15CB6" w:rsidRPr="006D24DB" w:rsidRDefault="00C96646">
      <w:pPr>
        <w:jc w:val="center"/>
        <w:rPr>
          <w:color w:val="2E86AB"/>
          <w:sz w:val="28"/>
          <w:lang w:val="es-BO"/>
        </w:rPr>
      </w:pPr>
      <w:r w:rsidRPr="006D24DB">
        <w:rPr>
          <w:color w:val="2E86AB"/>
          <w:sz w:val="28"/>
          <w:lang w:val="es-BO"/>
        </w:rPr>
        <w:t xml:space="preserve">Modelo de Predicción de </w:t>
      </w:r>
      <w:proofErr w:type="spellStart"/>
      <w:r w:rsidRPr="006D24DB">
        <w:rPr>
          <w:color w:val="2E86AB"/>
          <w:sz w:val="28"/>
          <w:lang w:val="es-BO"/>
        </w:rPr>
        <w:t>Churn</w:t>
      </w:r>
      <w:proofErr w:type="spellEnd"/>
      <w:r w:rsidRPr="006D24DB">
        <w:rPr>
          <w:color w:val="2E86AB"/>
          <w:sz w:val="28"/>
          <w:lang w:val="es-BO"/>
        </w:rPr>
        <w:t xml:space="preserve"> — </w:t>
      </w:r>
      <w:proofErr w:type="spellStart"/>
      <w:r w:rsidRPr="006D24DB">
        <w:rPr>
          <w:color w:val="2E86AB"/>
          <w:sz w:val="28"/>
          <w:lang w:val="es-BO"/>
        </w:rPr>
        <w:t>Dataset</w:t>
      </w:r>
      <w:proofErr w:type="spellEnd"/>
      <w:r w:rsidRPr="006D24DB">
        <w:rPr>
          <w:color w:val="2E86AB"/>
          <w:sz w:val="28"/>
          <w:lang w:val="es-BO"/>
        </w:rPr>
        <w:t xml:space="preserve"> </w:t>
      </w:r>
      <w:proofErr w:type="spellStart"/>
      <w:r w:rsidRPr="006D24DB">
        <w:rPr>
          <w:color w:val="2E86AB"/>
          <w:sz w:val="28"/>
          <w:lang w:val="es-BO"/>
        </w:rPr>
        <w:t>Olist</w:t>
      </w:r>
      <w:proofErr w:type="spellEnd"/>
    </w:p>
    <w:p w:rsidR="006D24DB" w:rsidRDefault="006D24DB">
      <w:pPr>
        <w:jc w:val="center"/>
        <w:rPr>
          <w:color w:val="2E86AB"/>
          <w:sz w:val="28"/>
          <w:lang w:val="es-BO"/>
        </w:rPr>
      </w:pPr>
    </w:p>
    <w:p w:rsidR="006D24DB" w:rsidRPr="006D24DB" w:rsidRDefault="006D24DB">
      <w:pPr>
        <w:jc w:val="center"/>
        <w:rPr>
          <w:lang w:val="es-BO"/>
        </w:rPr>
      </w:pPr>
      <w:r w:rsidRPr="006D24DB">
        <w:rPr>
          <w:lang w:val="es-BO"/>
        </w:rPr>
        <w:drawing>
          <wp:inline distT="0" distB="0" distL="0" distR="0" wp14:anchorId="08008F54" wp14:editId="1E434561">
            <wp:extent cx="3496163" cy="243874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5CB6" w:rsidRPr="006D24DB" w:rsidRDefault="00F15CB6">
      <w:pPr>
        <w:rPr>
          <w:lang w:val="es-B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F15CB6" w:rsidRPr="006D24DB">
        <w:trPr>
          <w:jc w:val="center"/>
        </w:trPr>
        <w:tc>
          <w:tcPr>
            <w:tcW w:w="4561" w:type="dxa"/>
            <w:shd w:val="clear" w:color="auto" w:fill="1E3A5F"/>
          </w:tcPr>
          <w:p w:rsidR="00F15CB6" w:rsidRDefault="00C96646">
            <w:r>
              <w:rPr>
                <w:b/>
                <w:color w:val="FFFFFF"/>
              </w:rPr>
              <w:t>Proyecto</w:t>
            </w:r>
          </w:p>
        </w:tc>
        <w:tc>
          <w:tcPr>
            <w:tcW w:w="4561" w:type="dxa"/>
          </w:tcPr>
          <w:p w:rsidR="00F15CB6" w:rsidRPr="006D24DB" w:rsidRDefault="00C96646">
            <w:pPr>
              <w:rPr>
                <w:lang w:val="es-BO"/>
              </w:rPr>
            </w:pPr>
            <w:r w:rsidRPr="006D24DB">
              <w:rPr>
                <w:lang w:val="es-BO"/>
              </w:rPr>
              <w:t xml:space="preserve">Predicción de </w:t>
            </w:r>
            <w:proofErr w:type="spellStart"/>
            <w:r w:rsidRPr="006D24DB">
              <w:rPr>
                <w:lang w:val="es-BO"/>
              </w:rPr>
              <w:t>Churn</w:t>
            </w:r>
            <w:proofErr w:type="spellEnd"/>
            <w:r w:rsidRPr="006D24DB">
              <w:rPr>
                <w:lang w:val="es-BO"/>
              </w:rPr>
              <w:t xml:space="preserve"> — E-</w:t>
            </w:r>
            <w:proofErr w:type="spellStart"/>
            <w:r w:rsidRPr="006D24DB">
              <w:rPr>
                <w:lang w:val="es-BO"/>
              </w:rPr>
              <w:t>commerce</w:t>
            </w:r>
            <w:proofErr w:type="spellEnd"/>
            <w:r w:rsidRPr="006D24DB">
              <w:rPr>
                <w:lang w:val="es-BO"/>
              </w:rPr>
              <w:t xml:space="preserve"> </w:t>
            </w:r>
            <w:proofErr w:type="spellStart"/>
            <w:r w:rsidRPr="006D24DB">
              <w:rPr>
                <w:lang w:val="es-BO"/>
              </w:rPr>
              <w:t>Olist</w:t>
            </w:r>
            <w:proofErr w:type="spellEnd"/>
          </w:p>
        </w:tc>
      </w:tr>
      <w:tr w:rsidR="00F15CB6">
        <w:trPr>
          <w:jc w:val="center"/>
        </w:trPr>
        <w:tc>
          <w:tcPr>
            <w:tcW w:w="4561" w:type="dxa"/>
            <w:shd w:val="clear" w:color="auto" w:fill="1E3A5F"/>
          </w:tcPr>
          <w:p w:rsidR="00F15CB6" w:rsidRDefault="00C96646">
            <w:proofErr w:type="spellStart"/>
            <w:r>
              <w:rPr>
                <w:b/>
                <w:color w:val="FFFFFF"/>
              </w:rPr>
              <w:t>Grupo</w:t>
            </w:r>
            <w:proofErr w:type="spellEnd"/>
          </w:p>
        </w:tc>
        <w:tc>
          <w:tcPr>
            <w:tcW w:w="4561" w:type="dxa"/>
          </w:tcPr>
          <w:p w:rsidR="00F15CB6" w:rsidRDefault="00C96646">
            <w:r>
              <w:t>Grupo 7 — Percy Fuentes</w:t>
            </w:r>
          </w:p>
        </w:tc>
      </w:tr>
      <w:tr w:rsidR="00F15CB6">
        <w:trPr>
          <w:jc w:val="center"/>
        </w:trPr>
        <w:tc>
          <w:tcPr>
            <w:tcW w:w="4561" w:type="dxa"/>
            <w:shd w:val="clear" w:color="auto" w:fill="1E3A5F"/>
          </w:tcPr>
          <w:p w:rsidR="00F15CB6" w:rsidRDefault="00C96646">
            <w:r>
              <w:rPr>
                <w:b/>
                <w:color w:val="FFFFFF"/>
              </w:rPr>
              <w:t>Sprint</w:t>
            </w:r>
          </w:p>
        </w:tc>
        <w:tc>
          <w:tcPr>
            <w:tcW w:w="4561" w:type="dxa"/>
          </w:tcPr>
          <w:p w:rsidR="00F15CB6" w:rsidRDefault="00C96646">
            <w:r>
              <w:t>Sprint 4 — Modelo Final</w:t>
            </w:r>
          </w:p>
        </w:tc>
      </w:tr>
      <w:tr w:rsidR="00F15CB6">
        <w:trPr>
          <w:jc w:val="center"/>
        </w:trPr>
        <w:tc>
          <w:tcPr>
            <w:tcW w:w="4561" w:type="dxa"/>
            <w:shd w:val="clear" w:color="auto" w:fill="1E3A5F"/>
          </w:tcPr>
          <w:p w:rsidR="00F15CB6" w:rsidRDefault="00C96646">
            <w:r>
              <w:rPr>
                <w:b/>
                <w:color w:val="FFFFFF"/>
              </w:rPr>
              <w:t>Fecha</w:t>
            </w:r>
          </w:p>
        </w:tc>
        <w:tc>
          <w:tcPr>
            <w:tcW w:w="4561" w:type="dxa"/>
          </w:tcPr>
          <w:p w:rsidR="00F15CB6" w:rsidRDefault="00C96646">
            <w:r>
              <w:t>20 de June de 2026</w:t>
            </w:r>
          </w:p>
        </w:tc>
      </w:tr>
    </w:tbl>
    <w:p w:rsidR="00F15CB6" w:rsidRDefault="00C96646">
      <w:r>
        <w:br w:type="page"/>
      </w:r>
    </w:p>
    <w:p w:rsidR="00F15CB6" w:rsidRDefault="00C96646">
      <w:pPr>
        <w:pBdr>
          <w:bottom w:val="single" w:sz="6" w:space="4" w:color="2E86AB"/>
        </w:pBdr>
        <w:spacing w:before="360" w:after="120"/>
      </w:pPr>
      <w:r>
        <w:rPr>
          <w:b/>
          <w:color w:val="1E3A5F"/>
          <w:sz w:val="28"/>
        </w:rPr>
        <w:lastRenderedPageBreak/>
        <w:t>1. Introducción y Contexto</w:t>
      </w:r>
    </w:p>
    <w:p w:rsidR="00F15CB6" w:rsidRPr="006D24DB" w:rsidRDefault="00C96646">
      <w:pPr>
        <w:spacing w:after="120"/>
        <w:rPr>
          <w:lang w:val="es-BO"/>
        </w:rPr>
      </w:pPr>
      <w:r w:rsidRPr="006D24DB">
        <w:rPr>
          <w:lang w:val="es-BO"/>
        </w:rPr>
        <w:t>El presente</w:t>
      </w:r>
      <w:r w:rsidRPr="006D24DB">
        <w:rPr>
          <w:lang w:val="es-BO"/>
        </w:rPr>
        <w:t xml:space="preserve"> informe analiza las implicaciones éticas, de privacidad y de gobernanza del modelo de predicción de </w:t>
      </w:r>
      <w:proofErr w:type="spellStart"/>
      <w:r w:rsidRPr="006D24DB">
        <w:rPr>
          <w:lang w:val="es-BO"/>
        </w:rPr>
        <w:t>churn</w:t>
      </w:r>
      <w:proofErr w:type="spellEnd"/>
      <w:r w:rsidRPr="006D24DB">
        <w:rPr>
          <w:lang w:val="es-BO"/>
        </w:rPr>
        <w:t xml:space="preserve"> desarrollado sobre el </w:t>
      </w:r>
      <w:proofErr w:type="spellStart"/>
      <w:r w:rsidRPr="006D24DB">
        <w:rPr>
          <w:lang w:val="es-BO"/>
        </w:rPr>
        <w:t>dataset</w:t>
      </w:r>
      <w:proofErr w:type="spellEnd"/>
      <w:r w:rsidRPr="006D24DB">
        <w:rPr>
          <w:lang w:val="es-BO"/>
        </w:rPr>
        <w:t xml:space="preserve"> público de </w:t>
      </w:r>
      <w:proofErr w:type="spellStart"/>
      <w:r w:rsidRPr="006D24DB">
        <w:rPr>
          <w:lang w:val="es-BO"/>
        </w:rPr>
        <w:t>Olist</w:t>
      </w:r>
      <w:proofErr w:type="spellEnd"/>
      <w:r w:rsidRPr="006D24DB">
        <w:rPr>
          <w:lang w:val="es-BO"/>
        </w:rPr>
        <w:t>, una plataforma de e-</w:t>
      </w:r>
      <w:proofErr w:type="spellStart"/>
      <w:r w:rsidRPr="006D24DB">
        <w:rPr>
          <w:lang w:val="es-BO"/>
        </w:rPr>
        <w:t>commerce</w:t>
      </w:r>
      <w:proofErr w:type="spellEnd"/>
      <w:r w:rsidRPr="006D24DB">
        <w:rPr>
          <w:lang w:val="es-BO"/>
        </w:rPr>
        <w:t xml:space="preserve"> brasileña. El modelo predice qué clientes tienen mayor probabilidad de a</w:t>
      </w:r>
      <w:r w:rsidRPr="006D24DB">
        <w:rPr>
          <w:lang w:val="es-BO"/>
        </w:rPr>
        <w:t>bandonar la plataforma en el siguiente mes, utilizando su historial de comportamiento de compra.</w:t>
      </w:r>
    </w:p>
    <w:p w:rsidR="00F15CB6" w:rsidRPr="006D24DB" w:rsidRDefault="00C96646">
      <w:pPr>
        <w:spacing w:after="120"/>
        <w:rPr>
          <w:lang w:val="es-BO"/>
        </w:rPr>
      </w:pPr>
      <w:r w:rsidRPr="006D24DB">
        <w:rPr>
          <w:lang w:val="es-BO"/>
        </w:rPr>
        <w:t xml:space="preserve">Un modelo predictivo de esta naturaleza puede tener impactos directos sobre personas reales —los clientes— al determinar quiénes reciben ofertas de retención, </w:t>
      </w:r>
      <w:r w:rsidRPr="006D24DB">
        <w:rPr>
          <w:lang w:val="es-BO"/>
        </w:rPr>
        <w:t>descuentos o atención prioritaria. Por ello, es fundamental evaluar su uso desde una perspectiva ética y de responsabilidad.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F15CB6" w:rsidRPr="006D24DB">
        <w:tc>
          <w:tcPr>
            <w:tcW w:w="9122" w:type="dxa"/>
            <w:shd w:val="clear" w:color="auto" w:fill="E8F4FD"/>
          </w:tcPr>
          <w:p w:rsidR="00F15CB6" w:rsidRPr="006D24DB" w:rsidRDefault="00C96646">
            <w:pPr>
              <w:spacing w:before="120" w:after="120"/>
              <w:rPr>
                <w:lang w:val="es-BO"/>
              </w:rPr>
            </w:pPr>
            <w:r w:rsidRPr="006D24DB">
              <w:rPr>
                <w:i/>
                <w:sz w:val="21"/>
                <w:lang w:val="es-BO"/>
              </w:rPr>
              <w:t xml:space="preserve">Modelo final: </w:t>
            </w:r>
            <w:proofErr w:type="spellStart"/>
            <w:r w:rsidRPr="006D24DB">
              <w:rPr>
                <w:i/>
                <w:sz w:val="21"/>
                <w:lang w:val="es-BO"/>
              </w:rPr>
              <w:t>Logistic</w:t>
            </w:r>
            <w:proofErr w:type="spellEnd"/>
            <w:r w:rsidRPr="006D24DB">
              <w:rPr>
                <w:i/>
                <w:sz w:val="21"/>
                <w:lang w:val="es-BO"/>
              </w:rPr>
              <w:t xml:space="preserve"> </w:t>
            </w:r>
            <w:proofErr w:type="spellStart"/>
            <w:r w:rsidRPr="006D24DB">
              <w:rPr>
                <w:i/>
                <w:sz w:val="21"/>
                <w:lang w:val="es-BO"/>
              </w:rPr>
              <w:t>Regression</w:t>
            </w:r>
            <w:proofErr w:type="spellEnd"/>
            <w:r w:rsidRPr="006D24DB">
              <w:rPr>
                <w:i/>
                <w:sz w:val="21"/>
                <w:lang w:val="es-BO"/>
              </w:rPr>
              <w:t xml:space="preserve"> (</w:t>
            </w:r>
            <w:proofErr w:type="spellStart"/>
            <w:r w:rsidRPr="006D24DB">
              <w:rPr>
                <w:i/>
                <w:sz w:val="21"/>
                <w:lang w:val="es-BO"/>
              </w:rPr>
              <w:t>LogReg</w:t>
            </w:r>
            <w:proofErr w:type="spellEnd"/>
            <w:r w:rsidRPr="006D24DB">
              <w:rPr>
                <w:i/>
                <w:sz w:val="21"/>
                <w:lang w:val="es-BO"/>
              </w:rPr>
              <w:t xml:space="preserve">) | AUC Live: 63% | </w:t>
            </w:r>
            <w:proofErr w:type="spellStart"/>
            <w:r w:rsidRPr="006D24DB">
              <w:rPr>
                <w:i/>
                <w:sz w:val="21"/>
                <w:lang w:val="es-BO"/>
              </w:rPr>
              <w:t>Lift</w:t>
            </w:r>
            <w:proofErr w:type="spellEnd"/>
            <w:r w:rsidRPr="006D24DB">
              <w:rPr>
                <w:i/>
                <w:sz w:val="21"/>
                <w:lang w:val="es-BO"/>
              </w:rPr>
              <w:t xml:space="preserve"> </w:t>
            </w:r>
            <w:proofErr w:type="spellStart"/>
            <w:r w:rsidRPr="006D24DB">
              <w:rPr>
                <w:i/>
                <w:sz w:val="21"/>
                <w:lang w:val="es-BO"/>
              </w:rPr>
              <w:t>Decil</w:t>
            </w:r>
            <w:proofErr w:type="spellEnd"/>
            <w:r w:rsidRPr="006D24DB">
              <w:rPr>
                <w:i/>
                <w:sz w:val="21"/>
                <w:lang w:val="es-BO"/>
              </w:rPr>
              <w:t xml:space="preserve"> 1: 2.24x | 27 variables de comportamiento | Datos: </w:t>
            </w:r>
            <w:proofErr w:type="spellStart"/>
            <w:r w:rsidRPr="006D24DB">
              <w:rPr>
                <w:i/>
                <w:sz w:val="21"/>
                <w:lang w:val="es-BO"/>
              </w:rPr>
              <w:t>Olist</w:t>
            </w:r>
            <w:proofErr w:type="spellEnd"/>
            <w:r w:rsidRPr="006D24DB">
              <w:rPr>
                <w:i/>
                <w:sz w:val="21"/>
                <w:lang w:val="es-BO"/>
              </w:rPr>
              <w:t xml:space="preserve"> </w:t>
            </w:r>
            <w:r w:rsidRPr="006D24DB">
              <w:rPr>
                <w:i/>
                <w:sz w:val="21"/>
                <w:lang w:val="es-BO"/>
              </w:rPr>
              <w:t xml:space="preserve">2016-2018 (público, </w:t>
            </w:r>
            <w:proofErr w:type="spellStart"/>
            <w:r w:rsidRPr="006D24DB">
              <w:rPr>
                <w:i/>
                <w:sz w:val="21"/>
                <w:lang w:val="es-BO"/>
              </w:rPr>
              <w:t>Kaggle</w:t>
            </w:r>
            <w:proofErr w:type="spellEnd"/>
            <w:r w:rsidRPr="006D24DB">
              <w:rPr>
                <w:i/>
                <w:sz w:val="21"/>
                <w:lang w:val="es-BO"/>
              </w:rPr>
              <w:t>)</w:t>
            </w:r>
          </w:p>
        </w:tc>
      </w:tr>
    </w:tbl>
    <w:p w:rsidR="00F15CB6" w:rsidRPr="006D24DB" w:rsidRDefault="00F15CB6">
      <w:pPr>
        <w:rPr>
          <w:lang w:val="es-BO"/>
        </w:rPr>
      </w:pPr>
    </w:p>
    <w:p w:rsidR="00F15CB6" w:rsidRPr="006D24DB" w:rsidRDefault="00C96646">
      <w:pPr>
        <w:pBdr>
          <w:bottom w:val="single" w:sz="6" w:space="4" w:color="2E86AB"/>
        </w:pBdr>
        <w:spacing w:before="360" w:after="120"/>
        <w:rPr>
          <w:lang w:val="es-BO"/>
        </w:rPr>
      </w:pPr>
      <w:r w:rsidRPr="006D24DB">
        <w:rPr>
          <w:b/>
          <w:color w:val="1E3A5F"/>
          <w:sz w:val="28"/>
          <w:lang w:val="es-BO"/>
        </w:rPr>
        <w:t xml:space="preserve">2. Transparencia y </w:t>
      </w:r>
      <w:proofErr w:type="spellStart"/>
      <w:r w:rsidRPr="006D24DB">
        <w:rPr>
          <w:b/>
          <w:color w:val="1E3A5F"/>
          <w:sz w:val="28"/>
          <w:lang w:val="es-BO"/>
        </w:rPr>
        <w:t>Explicabilidad</w:t>
      </w:r>
      <w:proofErr w:type="spellEnd"/>
    </w:p>
    <w:p w:rsidR="00F15CB6" w:rsidRPr="006D24DB" w:rsidRDefault="00C96646">
      <w:pPr>
        <w:spacing w:before="240" w:after="80"/>
        <w:rPr>
          <w:lang w:val="es-BO"/>
        </w:rPr>
      </w:pPr>
      <w:r w:rsidRPr="006D24DB">
        <w:rPr>
          <w:b/>
          <w:color w:val="2E86AB"/>
          <w:sz w:val="24"/>
          <w:lang w:val="es-BO"/>
        </w:rPr>
        <w:t>2.1 Elección de modelo interpretable</w:t>
      </w:r>
    </w:p>
    <w:p w:rsidR="00F15CB6" w:rsidRPr="006D24DB" w:rsidRDefault="00C96646">
      <w:pPr>
        <w:spacing w:after="120"/>
        <w:rPr>
          <w:lang w:val="es-BO"/>
        </w:rPr>
      </w:pPr>
      <w:r w:rsidRPr="006D24DB">
        <w:rPr>
          <w:lang w:val="es-BO"/>
        </w:rPr>
        <w:t xml:space="preserve">Se eligió </w:t>
      </w:r>
      <w:proofErr w:type="spellStart"/>
      <w:r w:rsidRPr="006D24DB">
        <w:rPr>
          <w:lang w:val="es-BO"/>
        </w:rPr>
        <w:t>Logistic</w:t>
      </w:r>
      <w:proofErr w:type="spellEnd"/>
      <w:r w:rsidRPr="006D24DB">
        <w:rPr>
          <w:lang w:val="es-BO"/>
        </w:rPr>
        <w:t xml:space="preserve"> </w:t>
      </w:r>
      <w:proofErr w:type="spellStart"/>
      <w:r w:rsidRPr="006D24DB">
        <w:rPr>
          <w:lang w:val="es-BO"/>
        </w:rPr>
        <w:t>Regression</w:t>
      </w:r>
      <w:proofErr w:type="spellEnd"/>
      <w:r w:rsidRPr="006D24DB">
        <w:rPr>
          <w:lang w:val="es-BO"/>
        </w:rPr>
        <w:t xml:space="preserve"> como modelo final, en lugar de modelos de mayor complejidad como </w:t>
      </w:r>
      <w:proofErr w:type="spellStart"/>
      <w:r w:rsidRPr="006D24DB">
        <w:rPr>
          <w:lang w:val="es-BO"/>
        </w:rPr>
        <w:t>Gradient</w:t>
      </w:r>
      <w:proofErr w:type="spellEnd"/>
      <w:r w:rsidRPr="006D24DB">
        <w:rPr>
          <w:lang w:val="es-BO"/>
        </w:rPr>
        <w:t xml:space="preserve"> </w:t>
      </w:r>
      <w:proofErr w:type="spellStart"/>
      <w:r w:rsidRPr="006D24DB">
        <w:rPr>
          <w:lang w:val="es-BO"/>
        </w:rPr>
        <w:t>Boosting</w:t>
      </w:r>
      <w:proofErr w:type="spellEnd"/>
      <w:r w:rsidRPr="006D24DB">
        <w:rPr>
          <w:lang w:val="es-BO"/>
        </w:rPr>
        <w:t xml:space="preserve"> (HGB), precisamente por su </w:t>
      </w:r>
      <w:proofErr w:type="spellStart"/>
      <w:r w:rsidRPr="006D24DB">
        <w:rPr>
          <w:lang w:val="es-BO"/>
        </w:rPr>
        <w:t>interpretabilid</w:t>
      </w:r>
      <w:r w:rsidRPr="006D24DB">
        <w:rPr>
          <w:lang w:val="es-BO"/>
        </w:rPr>
        <w:t>ad</w:t>
      </w:r>
      <w:proofErr w:type="spellEnd"/>
      <w:r w:rsidRPr="006D24DB">
        <w:rPr>
          <w:lang w:val="es-BO"/>
        </w:rPr>
        <w:t xml:space="preserve"> nativa. Los coeficientes del modelo permiten explicar directamente la dirección e impacto de cada variable sobre la predicción.</w:t>
      </w:r>
    </w:p>
    <w:p w:rsidR="00F15CB6" w:rsidRDefault="00C96646">
      <w:pPr>
        <w:spacing w:before="240" w:after="80"/>
      </w:pPr>
      <w:r>
        <w:rPr>
          <w:b/>
          <w:color w:val="2E86AB"/>
          <w:sz w:val="24"/>
        </w:rPr>
        <w:t xml:space="preserve">2.2 </w:t>
      </w:r>
      <w:proofErr w:type="spellStart"/>
      <w:r>
        <w:rPr>
          <w:b/>
          <w:color w:val="2E86AB"/>
          <w:sz w:val="24"/>
        </w:rPr>
        <w:t>Herramientas</w:t>
      </w:r>
      <w:proofErr w:type="spellEnd"/>
      <w:r>
        <w:rPr>
          <w:b/>
          <w:color w:val="2E86AB"/>
          <w:sz w:val="24"/>
        </w:rPr>
        <w:t xml:space="preserve"> de </w:t>
      </w:r>
      <w:proofErr w:type="spellStart"/>
      <w:r>
        <w:rPr>
          <w:b/>
          <w:color w:val="2E86AB"/>
          <w:sz w:val="24"/>
        </w:rPr>
        <w:t>explicabilidad</w:t>
      </w:r>
      <w:proofErr w:type="spellEnd"/>
      <w:r>
        <w:rPr>
          <w:b/>
          <w:color w:val="2E86AB"/>
          <w:sz w:val="24"/>
        </w:rPr>
        <w:t xml:space="preserve"> aplicadas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Coeficientes </w:t>
      </w:r>
      <w:proofErr w:type="spellStart"/>
      <w:r w:rsidRPr="006D24DB">
        <w:rPr>
          <w:b/>
          <w:lang w:val="es-BO"/>
        </w:rPr>
        <w:t>LogReg</w:t>
      </w:r>
      <w:proofErr w:type="spellEnd"/>
      <w:r w:rsidRPr="006D24DB">
        <w:rPr>
          <w:b/>
          <w:lang w:val="es-BO"/>
        </w:rPr>
        <w:t xml:space="preserve">: </w:t>
      </w:r>
      <w:r w:rsidRPr="006D24DB">
        <w:rPr>
          <w:lang w:val="es-BO"/>
        </w:rPr>
        <w:t>Coeficientes normalizados: importancia relativa de cada var</w:t>
      </w:r>
      <w:r w:rsidRPr="006D24DB">
        <w:rPr>
          <w:lang w:val="es-BO"/>
        </w:rPr>
        <w:t>iable (</w:t>
      </w:r>
      <w:proofErr w:type="spellStart"/>
      <w:r w:rsidRPr="006D24DB">
        <w:rPr>
          <w:lang w:val="es-BO"/>
        </w:rPr>
        <w:t>max</w:t>
      </w:r>
      <w:proofErr w:type="spellEnd"/>
      <w:r w:rsidRPr="006D24DB">
        <w:rPr>
          <w:lang w:val="es-BO"/>
        </w:rPr>
        <w:t xml:space="preserve"> 11.57% para </w:t>
      </w:r>
      <w:proofErr w:type="spellStart"/>
      <w:r w:rsidRPr="006D24DB">
        <w:rPr>
          <w:lang w:val="es-BO"/>
        </w:rPr>
        <w:t>comprador_unico</w:t>
      </w:r>
      <w:proofErr w:type="spellEnd"/>
      <w:r w:rsidRPr="006D24DB">
        <w:rPr>
          <w:lang w:val="es-BO"/>
        </w:rPr>
        <w:t>).</w:t>
      </w:r>
    </w:p>
    <w:p w:rsidR="00F15CB6" w:rsidRDefault="00C96646">
      <w:pPr>
        <w:pStyle w:val="Listaconvietas"/>
        <w:spacing w:after="60"/>
      </w:pPr>
      <w:r>
        <w:rPr>
          <w:b/>
        </w:rPr>
        <w:t xml:space="preserve">SHAP: </w:t>
      </w:r>
      <w:r>
        <w:t xml:space="preserve">SHAP </w:t>
      </w:r>
      <w:proofErr w:type="spellStart"/>
      <w:r>
        <w:t>LinearExplainer</w:t>
      </w:r>
      <w:proofErr w:type="spellEnd"/>
      <w:r>
        <w:t xml:space="preserve">: </w:t>
      </w:r>
      <w:proofErr w:type="spellStart"/>
      <w:r>
        <w:t>valores</w:t>
      </w:r>
      <w:proofErr w:type="spellEnd"/>
      <w:r>
        <w:t xml:space="preserve"> SHAP por cliente, beeswarm y bar plots.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proofErr w:type="spellStart"/>
      <w:r w:rsidRPr="006D24DB">
        <w:rPr>
          <w:b/>
          <w:lang w:val="es-BO"/>
        </w:rPr>
        <w:t>Permutation</w:t>
      </w:r>
      <w:proofErr w:type="spellEnd"/>
      <w:r w:rsidRPr="006D24DB">
        <w:rPr>
          <w:b/>
          <w:lang w:val="es-BO"/>
        </w:rPr>
        <w:t xml:space="preserve"> </w:t>
      </w:r>
      <w:proofErr w:type="spellStart"/>
      <w:r w:rsidRPr="006D24DB">
        <w:rPr>
          <w:b/>
          <w:lang w:val="es-BO"/>
        </w:rPr>
        <w:t>Importance</w:t>
      </w:r>
      <w:proofErr w:type="spellEnd"/>
      <w:r w:rsidRPr="006D24DB">
        <w:rPr>
          <w:b/>
          <w:lang w:val="es-BO"/>
        </w:rPr>
        <w:t xml:space="preserve">: </w:t>
      </w:r>
      <w:proofErr w:type="spellStart"/>
      <w:r w:rsidRPr="006D24DB">
        <w:rPr>
          <w:lang w:val="es-BO"/>
        </w:rPr>
        <w:t>Permutation</w:t>
      </w:r>
      <w:proofErr w:type="spellEnd"/>
      <w:r w:rsidRPr="006D24DB">
        <w:rPr>
          <w:lang w:val="es-BO"/>
        </w:rPr>
        <w:t xml:space="preserve"> </w:t>
      </w:r>
      <w:proofErr w:type="spellStart"/>
      <w:r w:rsidRPr="006D24DB">
        <w:rPr>
          <w:lang w:val="es-BO"/>
        </w:rPr>
        <w:t>Importance</w:t>
      </w:r>
      <w:proofErr w:type="spellEnd"/>
      <w:r w:rsidRPr="006D24DB">
        <w:rPr>
          <w:lang w:val="es-BO"/>
        </w:rPr>
        <w:t xml:space="preserve">: validación cruzada de la importancia de </w:t>
      </w:r>
      <w:proofErr w:type="spellStart"/>
      <w:r w:rsidRPr="006D24DB">
        <w:rPr>
          <w:lang w:val="es-BO"/>
        </w:rPr>
        <w:t>features</w:t>
      </w:r>
      <w:proofErr w:type="spellEnd"/>
      <w:r w:rsidRPr="006D24DB">
        <w:rPr>
          <w:lang w:val="es-BO"/>
        </w:rPr>
        <w:t>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proofErr w:type="spellStart"/>
      <w:r w:rsidRPr="006D24DB">
        <w:rPr>
          <w:b/>
          <w:lang w:val="es-BO"/>
        </w:rPr>
        <w:t>Gain</w:t>
      </w:r>
      <w:proofErr w:type="spellEnd"/>
      <w:r w:rsidRPr="006D24DB">
        <w:rPr>
          <w:b/>
          <w:lang w:val="es-BO"/>
        </w:rPr>
        <w:t xml:space="preserve"> &amp; </w:t>
      </w:r>
      <w:proofErr w:type="spellStart"/>
      <w:r w:rsidRPr="006D24DB">
        <w:rPr>
          <w:b/>
          <w:lang w:val="es-BO"/>
        </w:rPr>
        <w:t>Lift</w:t>
      </w:r>
      <w:proofErr w:type="spellEnd"/>
      <w:r w:rsidRPr="006D24DB">
        <w:rPr>
          <w:b/>
          <w:lang w:val="es-BO"/>
        </w:rPr>
        <w:t xml:space="preserve">: </w:t>
      </w:r>
      <w:proofErr w:type="spellStart"/>
      <w:r w:rsidRPr="006D24DB">
        <w:rPr>
          <w:lang w:val="es-BO"/>
        </w:rPr>
        <w:t>Gain</w:t>
      </w:r>
      <w:proofErr w:type="spellEnd"/>
      <w:r w:rsidRPr="006D24DB">
        <w:rPr>
          <w:lang w:val="es-BO"/>
        </w:rPr>
        <w:t>/</w:t>
      </w:r>
      <w:proofErr w:type="spellStart"/>
      <w:r w:rsidRPr="006D24DB">
        <w:rPr>
          <w:lang w:val="es-BO"/>
        </w:rPr>
        <w:t>Lift</w:t>
      </w:r>
      <w:proofErr w:type="spellEnd"/>
      <w:r w:rsidRPr="006D24DB">
        <w:rPr>
          <w:lang w:val="es-BO"/>
        </w:rPr>
        <w:t xml:space="preserve"> </w:t>
      </w:r>
      <w:proofErr w:type="spellStart"/>
      <w:r w:rsidRPr="006D24DB">
        <w:rPr>
          <w:lang w:val="es-BO"/>
        </w:rPr>
        <w:t>Tables</w:t>
      </w:r>
      <w:proofErr w:type="spellEnd"/>
      <w:r w:rsidRPr="006D24DB">
        <w:rPr>
          <w:lang w:val="es-BO"/>
        </w:rPr>
        <w:t>: cuantifica</w:t>
      </w:r>
      <w:r w:rsidRPr="006D24DB">
        <w:rPr>
          <w:lang w:val="es-BO"/>
        </w:rPr>
        <w:t xml:space="preserve">ción del poder de discriminación por </w:t>
      </w:r>
      <w:proofErr w:type="spellStart"/>
      <w:r w:rsidRPr="006D24DB">
        <w:rPr>
          <w:lang w:val="es-BO"/>
        </w:rPr>
        <w:t>deciles</w:t>
      </w:r>
      <w:proofErr w:type="spellEnd"/>
      <w:r w:rsidRPr="006D24DB">
        <w:rPr>
          <w:lang w:val="es-BO"/>
        </w:rPr>
        <w:t>.</w:t>
      </w:r>
    </w:p>
    <w:p w:rsidR="00F15CB6" w:rsidRPr="006D24DB" w:rsidRDefault="00C96646">
      <w:pPr>
        <w:spacing w:before="240" w:after="80"/>
        <w:rPr>
          <w:lang w:val="es-BO"/>
        </w:rPr>
      </w:pPr>
      <w:r w:rsidRPr="006D24DB">
        <w:rPr>
          <w:b/>
          <w:color w:val="2E86AB"/>
          <w:sz w:val="24"/>
          <w:lang w:val="es-BO"/>
        </w:rPr>
        <w:t>2.3 Narrativa explicable para el negocio</w:t>
      </w:r>
    </w:p>
    <w:p w:rsidR="00F15CB6" w:rsidRPr="006D24DB" w:rsidRDefault="00C96646">
      <w:pPr>
        <w:spacing w:after="120"/>
        <w:rPr>
          <w:lang w:val="es-BO"/>
        </w:rPr>
      </w:pPr>
      <w:r w:rsidRPr="006D24DB">
        <w:rPr>
          <w:lang w:val="es-BO"/>
        </w:rPr>
        <w:t>El modelo puede comunicarse a equipos no técnicos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F15CB6" w:rsidRPr="006D24DB">
        <w:tc>
          <w:tcPr>
            <w:tcW w:w="9122" w:type="dxa"/>
            <w:shd w:val="clear" w:color="auto" w:fill="E8F8F0"/>
          </w:tcPr>
          <w:p w:rsidR="00F15CB6" w:rsidRPr="006D24DB" w:rsidRDefault="00C96646">
            <w:pPr>
              <w:spacing w:before="120" w:after="120"/>
              <w:rPr>
                <w:lang w:val="es-BO"/>
              </w:rPr>
            </w:pPr>
            <w:r w:rsidRPr="006D24DB">
              <w:rPr>
                <w:i/>
                <w:sz w:val="21"/>
                <w:lang w:val="es-BO"/>
              </w:rPr>
              <w:t xml:space="preserve">Un cliente tiene mayor riesgo de </w:t>
            </w:r>
            <w:proofErr w:type="spellStart"/>
            <w:r w:rsidRPr="006D24DB">
              <w:rPr>
                <w:i/>
                <w:sz w:val="21"/>
                <w:lang w:val="es-BO"/>
              </w:rPr>
              <w:t>churn</w:t>
            </w:r>
            <w:proofErr w:type="spellEnd"/>
            <w:r w:rsidRPr="006D24DB">
              <w:rPr>
                <w:i/>
                <w:sz w:val="21"/>
                <w:lang w:val="es-BO"/>
              </w:rPr>
              <w:t xml:space="preserve"> si: lleva mucho tiempo sin comprar (</w:t>
            </w:r>
            <w:proofErr w:type="spellStart"/>
            <w:r w:rsidRPr="006D24DB">
              <w:rPr>
                <w:i/>
                <w:sz w:val="21"/>
                <w:lang w:val="es-BO"/>
              </w:rPr>
              <w:t>recencia</w:t>
            </w:r>
            <w:proofErr w:type="spellEnd"/>
            <w:r w:rsidRPr="006D24DB">
              <w:rPr>
                <w:i/>
                <w:sz w:val="21"/>
                <w:lang w:val="es-BO"/>
              </w:rPr>
              <w:t xml:space="preserve"> alta), comp</w:t>
            </w:r>
            <w:r w:rsidRPr="006D24DB">
              <w:rPr>
                <w:i/>
                <w:sz w:val="21"/>
                <w:lang w:val="es-BO"/>
              </w:rPr>
              <w:t>ra siempre en la misma categoría (</w:t>
            </w:r>
            <w:proofErr w:type="spellStart"/>
            <w:r w:rsidRPr="006D24DB">
              <w:rPr>
                <w:i/>
                <w:sz w:val="21"/>
                <w:lang w:val="es-BO"/>
              </w:rPr>
              <w:t>comprador_unico</w:t>
            </w:r>
            <w:proofErr w:type="spellEnd"/>
            <w:r w:rsidRPr="006D24DB">
              <w:rPr>
                <w:i/>
                <w:sz w:val="21"/>
                <w:lang w:val="es-BO"/>
              </w:rPr>
              <w:t xml:space="preserve"> alto), recibe pedidos tarde (</w:t>
            </w:r>
            <w:proofErr w:type="spellStart"/>
            <w:r w:rsidRPr="006D24DB">
              <w:rPr>
                <w:i/>
                <w:sz w:val="21"/>
                <w:lang w:val="es-BO"/>
              </w:rPr>
              <w:t>lead_min</w:t>
            </w:r>
            <w:proofErr w:type="spellEnd"/>
            <w:r w:rsidRPr="006D24DB">
              <w:rPr>
                <w:i/>
                <w:sz w:val="21"/>
                <w:lang w:val="es-BO"/>
              </w:rPr>
              <w:t xml:space="preserve"> alto) y usa muchas cuotas (</w:t>
            </w:r>
            <w:proofErr w:type="spellStart"/>
            <w:r w:rsidRPr="006D24DB">
              <w:rPr>
                <w:i/>
                <w:sz w:val="21"/>
                <w:lang w:val="es-BO"/>
              </w:rPr>
              <w:t>installments_max</w:t>
            </w:r>
            <w:proofErr w:type="spellEnd"/>
            <w:r w:rsidRPr="006D24DB">
              <w:rPr>
                <w:i/>
                <w:sz w:val="21"/>
                <w:lang w:val="es-BO"/>
              </w:rPr>
              <w:t xml:space="preserve"> alto). Por el contrario, compras frecuentes y buenas reseñas reducen el riesgo.</w:t>
            </w:r>
          </w:p>
        </w:tc>
      </w:tr>
    </w:tbl>
    <w:p w:rsidR="00F15CB6" w:rsidRPr="006D24DB" w:rsidRDefault="00F15CB6">
      <w:pPr>
        <w:rPr>
          <w:lang w:val="es-BO"/>
        </w:rPr>
      </w:pPr>
    </w:p>
    <w:p w:rsidR="00F15CB6" w:rsidRPr="006D24DB" w:rsidRDefault="00C96646">
      <w:pPr>
        <w:pBdr>
          <w:bottom w:val="single" w:sz="6" w:space="4" w:color="2E86AB"/>
        </w:pBdr>
        <w:spacing w:before="360" w:after="120"/>
        <w:rPr>
          <w:lang w:val="es-BO"/>
        </w:rPr>
      </w:pPr>
      <w:r w:rsidRPr="006D24DB">
        <w:rPr>
          <w:b/>
          <w:color w:val="1E3A5F"/>
          <w:sz w:val="28"/>
          <w:lang w:val="es-BO"/>
        </w:rPr>
        <w:t>3. Análisis de Sesgos Potenciales</w:t>
      </w:r>
    </w:p>
    <w:p w:rsidR="00F15CB6" w:rsidRPr="006D24DB" w:rsidRDefault="00C96646">
      <w:pPr>
        <w:spacing w:before="240" w:after="80"/>
        <w:rPr>
          <w:lang w:val="es-BO"/>
        </w:rPr>
      </w:pPr>
      <w:r w:rsidRPr="006D24DB">
        <w:rPr>
          <w:b/>
          <w:color w:val="2E86AB"/>
          <w:sz w:val="24"/>
          <w:lang w:val="es-BO"/>
        </w:rPr>
        <w:lastRenderedPageBreak/>
        <w:t xml:space="preserve">3.1 </w:t>
      </w:r>
      <w:r w:rsidRPr="006D24DB">
        <w:rPr>
          <w:b/>
          <w:color w:val="2E86AB"/>
          <w:sz w:val="24"/>
          <w:lang w:val="es-BO"/>
        </w:rPr>
        <w:t>Sesgo de selección temporal</w:t>
      </w:r>
    </w:p>
    <w:p w:rsidR="00F15CB6" w:rsidRPr="006D24DB" w:rsidRDefault="00C96646">
      <w:pPr>
        <w:spacing w:after="120"/>
        <w:rPr>
          <w:lang w:val="es-BO"/>
        </w:rPr>
      </w:pPr>
      <w:r w:rsidRPr="006D24DB">
        <w:rPr>
          <w:lang w:val="es-BO"/>
        </w:rPr>
        <w:t xml:space="preserve">El modelo fue entrenado con datos de 2016 a enero 2018, período de rápido crecimiento de </w:t>
      </w:r>
      <w:proofErr w:type="spellStart"/>
      <w:r w:rsidRPr="006D24DB">
        <w:rPr>
          <w:lang w:val="es-BO"/>
        </w:rPr>
        <w:t>Olist</w:t>
      </w:r>
      <w:proofErr w:type="spellEnd"/>
      <w:r w:rsidRPr="006D24DB">
        <w:rPr>
          <w:lang w:val="es-BO"/>
        </w:rPr>
        <w:t>. Los patrones de comportamiento del cliente en ese período pueden no representar fielmente el comportamiento en períodos más reciente</w:t>
      </w:r>
      <w:r w:rsidRPr="006D24DB">
        <w:rPr>
          <w:lang w:val="es-BO"/>
        </w:rPr>
        <w:t>s o en otras etapas del ciclo de vida del negocio.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Mitigación: </w:t>
      </w:r>
      <w:r w:rsidRPr="006D24DB">
        <w:rPr>
          <w:lang w:val="es-BO"/>
        </w:rPr>
        <w:t xml:space="preserve">Se implementaron tres períodos de validación independientes (Val, </w:t>
      </w:r>
      <w:proofErr w:type="spellStart"/>
      <w:r w:rsidRPr="006D24DB">
        <w:rPr>
          <w:lang w:val="es-BO"/>
        </w:rPr>
        <w:t>BackTest</w:t>
      </w:r>
      <w:proofErr w:type="spellEnd"/>
      <w:r w:rsidRPr="006D24DB">
        <w:rPr>
          <w:lang w:val="es-BO"/>
        </w:rPr>
        <w:t>, Live) para detectar degradación temporal.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Resultado: </w:t>
      </w:r>
      <w:r w:rsidRPr="006D24DB">
        <w:rPr>
          <w:lang w:val="es-BO"/>
        </w:rPr>
        <w:t>El AUC mejora progresivamente (59.8% → 61% → 63%), indicando que</w:t>
      </w:r>
      <w:r w:rsidRPr="006D24DB">
        <w:rPr>
          <w:lang w:val="es-BO"/>
        </w:rPr>
        <w:t xml:space="preserve"> el modelo no </w:t>
      </w:r>
      <w:proofErr w:type="spellStart"/>
      <w:r w:rsidRPr="006D24DB">
        <w:rPr>
          <w:lang w:val="es-BO"/>
        </w:rPr>
        <w:t>sobreaprende</w:t>
      </w:r>
      <w:proofErr w:type="spellEnd"/>
      <w:r w:rsidRPr="006D24DB">
        <w:rPr>
          <w:lang w:val="es-BO"/>
        </w:rPr>
        <w:t xml:space="preserve"> el período histórico.</w:t>
      </w:r>
    </w:p>
    <w:p w:rsidR="00F15CB6" w:rsidRPr="006D24DB" w:rsidRDefault="00C96646">
      <w:pPr>
        <w:spacing w:before="240" w:after="80"/>
        <w:rPr>
          <w:lang w:val="es-BO"/>
        </w:rPr>
      </w:pPr>
      <w:r w:rsidRPr="006D24DB">
        <w:rPr>
          <w:b/>
          <w:color w:val="2E86AB"/>
          <w:sz w:val="24"/>
          <w:lang w:val="es-BO"/>
        </w:rPr>
        <w:t>3.2 Sesgo por clase desbalanceada</w:t>
      </w:r>
    </w:p>
    <w:p w:rsidR="00F15CB6" w:rsidRPr="006D24DB" w:rsidRDefault="00C96646">
      <w:pPr>
        <w:spacing w:after="120"/>
        <w:rPr>
          <w:lang w:val="es-BO"/>
        </w:rPr>
      </w:pPr>
      <w:r w:rsidRPr="006D24DB">
        <w:rPr>
          <w:lang w:val="es-BO"/>
        </w:rPr>
        <w:t xml:space="preserve">El </w:t>
      </w:r>
      <w:proofErr w:type="spellStart"/>
      <w:r w:rsidRPr="006D24DB">
        <w:rPr>
          <w:lang w:val="es-BO"/>
        </w:rPr>
        <w:t>dataset</w:t>
      </w:r>
      <w:proofErr w:type="spellEnd"/>
      <w:r w:rsidRPr="006D24DB">
        <w:rPr>
          <w:lang w:val="es-BO"/>
        </w:rPr>
        <w:t xml:space="preserve"> presenta un fuerte desbalance: </w:t>
      </w:r>
      <w:proofErr w:type="spellStart"/>
      <w:r w:rsidRPr="006D24DB">
        <w:rPr>
          <w:lang w:val="es-BO"/>
        </w:rPr>
        <w:t>churn</w:t>
      </w:r>
      <w:proofErr w:type="spellEnd"/>
      <w:r w:rsidRPr="006D24DB">
        <w:rPr>
          <w:lang w:val="es-BO"/>
        </w:rPr>
        <w:t xml:space="preserve">=0 (clientes que abandonan) representa solo el 1.2% del total, mientras que </w:t>
      </w:r>
      <w:proofErr w:type="spellStart"/>
      <w:r w:rsidRPr="006D24DB">
        <w:rPr>
          <w:lang w:val="es-BO"/>
        </w:rPr>
        <w:t>churn</w:t>
      </w:r>
      <w:proofErr w:type="spellEnd"/>
      <w:r w:rsidRPr="006D24DB">
        <w:rPr>
          <w:lang w:val="es-BO"/>
        </w:rPr>
        <w:t>=1 (clientes activos) es el 98.8%. Sin correc</w:t>
      </w:r>
      <w:r w:rsidRPr="006D24DB">
        <w:rPr>
          <w:lang w:val="es-BO"/>
        </w:rPr>
        <w:t>ción, el modelo tendería a ignorar la clase minoritaria.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Mitigación: </w:t>
      </w:r>
      <w:r w:rsidRPr="006D24DB">
        <w:rPr>
          <w:lang w:val="es-BO"/>
        </w:rPr>
        <w:t>Se aplicó SMOTE (oversampling) + RandomUnderSampler para balancear las clases durante el entrenamiento.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Métrica: </w:t>
      </w:r>
      <w:r w:rsidRPr="006D24DB">
        <w:rPr>
          <w:lang w:val="es-BO"/>
        </w:rPr>
        <w:t>La evaluación se realizó con AUC-ROC, métrica robusta ante desbalance.</w:t>
      </w:r>
    </w:p>
    <w:p w:rsidR="00F15CB6" w:rsidRPr="006D24DB" w:rsidRDefault="00C96646">
      <w:pPr>
        <w:spacing w:before="240" w:after="80"/>
        <w:rPr>
          <w:lang w:val="es-BO"/>
        </w:rPr>
      </w:pPr>
      <w:r w:rsidRPr="006D24DB">
        <w:rPr>
          <w:b/>
          <w:color w:val="2E86AB"/>
          <w:sz w:val="24"/>
          <w:lang w:val="es-BO"/>
        </w:rPr>
        <w:t>3.3</w:t>
      </w:r>
      <w:r w:rsidRPr="006D24DB">
        <w:rPr>
          <w:b/>
          <w:color w:val="2E86AB"/>
          <w:sz w:val="24"/>
          <w:lang w:val="es-BO"/>
        </w:rPr>
        <w:t xml:space="preserve"> Sesgo de variables proxy</w:t>
      </w:r>
    </w:p>
    <w:p w:rsidR="00F15CB6" w:rsidRPr="006D24DB" w:rsidRDefault="00C96646">
      <w:pPr>
        <w:spacing w:after="120"/>
        <w:rPr>
          <w:lang w:val="es-BO"/>
        </w:rPr>
      </w:pPr>
      <w:r w:rsidRPr="006D24DB">
        <w:rPr>
          <w:lang w:val="es-BO"/>
        </w:rPr>
        <w:t>Variables como installments_max (uso de cuotas) o freight_total_sum (costo de flete) pueden actuar como proxies de condición socioeconómica del cliente. El uso de estas variables para decisiones de retención podría resultar en tra</w:t>
      </w:r>
      <w:r w:rsidRPr="006D24DB">
        <w:rPr>
          <w:lang w:val="es-BO"/>
        </w:rPr>
        <w:t>tamiento diferenciado basado indirectamente en el nivel de ingresos.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Recomendación: </w:t>
      </w:r>
      <w:r w:rsidRPr="006D24DB">
        <w:rPr>
          <w:lang w:val="es-BO"/>
        </w:rPr>
        <w:t>Monitorear que las tasas de predicción de churn no difieran significativamente entre regiones geográficas del Brasil.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Futuro: </w:t>
      </w:r>
      <w:r w:rsidRPr="006D24DB">
        <w:rPr>
          <w:lang w:val="es-BO"/>
        </w:rPr>
        <w:t>Evaluar impacto diferencial por segmento de cl</w:t>
      </w:r>
      <w:r w:rsidRPr="006D24DB">
        <w:rPr>
          <w:lang w:val="es-BO"/>
        </w:rPr>
        <w:t>iente en futuras iteraciones.</w:t>
      </w:r>
    </w:p>
    <w:p w:rsidR="00F15CB6" w:rsidRPr="006D24DB" w:rsidRDefault="00C96646">
      <w:pPr>
        <w:spacing w:before="240" w:after="80"/>
        <w:rPr>
          <w:lang w:val="es-BO"/>
        </w:rPr>
      </w:pPr>
      <w:r w:rsidRPr="006D24DB">
        <w:rPr>
          <w:b/>
          <w:color w:val="2E86AB"/>
          <w:sz w:val="24"/>
          <w:lang w:val="es-BO"/>
        </w:rPr>
        <w:t>3.4 Sesgo de data leakage corregido</w:t>
      </w:r>
    </w:p>
    <w:p w:rsidR="00F15CB6" w:rsidRPr="006D24DB" w:rsidRDefault="00C96646">
      <w:pPr>
        <w:spacing w:after="120"/>
        <w:rPr>
          <w:lang w:val="es-BO"/>
        </w:rPr>
      </w:pPr>
      <w:r w:rsidRPr="006D24DB">
        <w:rPr>
          <w:lang w:val="es-BO"/>
        </w:rPr>
        <w:t xml:space="preserve">Durante el desarrollo se detectó y corrigió </w:t>
      </w:r>
      <w:proofErr w:type="gramStart"/>
      <w:r w:rsidRPr="006D24DB">
        <w:rPr>
          <w:lang w:val="es-BO"/>
        </w:rPr>
        <w:t>un data</w:t>
      </w:r>
      <w:proofErr w:type="gramEnd"/>
      <w:r w:rsidRPr="006D24DB">
        <w:rPr>
          <w:lang w:val="es-BO"/>
        </w:rPr>
        <w:t xml:space="preserve"> leakage en la variable lead_min: se utilizaba la fecha de entrega real (posterior al corte temporal T) para calcular el tiempo de entrega </w:t>
      </w:r>
      <w:r w:rsidRPr="006D24DB">
        <w:rPr>
          <w:lang w:val="es-BO"/>
        </w:rPr>
        <w:t>mínimo. Tras la corrección, la importancia de lead_min bajó de ~20% a ~7%, reflejando su contribución real.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F15CB6" w:rsidRPr="006D24DB">
        <w:tc>
          <w:tcPr>
            <w:tcW w:w="9122" w:type="dxa"/>
            <w:shd w:val="clear" w:color="auto" w:fill="FFF3CD"/>
          </w:tcPr>
          <w:p w:rsidR="00F15CB6" w:rsidRPr="006D24DB" w:rsidRDefault="00C96646">
            <w:pPr>
              <w:spacing w:before="120" w:after="120"/>
              <w:rPr>
                <w:lang w:val="es-BO"/>
              </w:rPr>
            </w:pPr>
            <w:r w:rsidRPr="006D24DB">
              <w:rPr>
                <w:i/>
                <w:sz w:val="21"/>
                <w:lang w:val="es-BO"/>
              </w:rPr>
              <w:t>La corrección del leakage es un ejemplo de práctica ética: el modelo no debe usar información del futuro para predecir el presente, ya que esto gene</w:t>
            </w:r>
            <w:r w:rsidRPr="006D24DB">
              <w:rPr>
                <w:i/>
                <w:sz w:val="21"/>
                <w:lang w:val="es-BO"/>
              </w:rPr>
              <w:t>raría predicciones irreproducibles en producción real.</w:t>
            </w:r>
          </w:p>
        </w:tc>
      </w:tr>
    </w:tbl>
    <w:p w:rsidR="00F15CB6" w:rsidRPr="006D24DB" w:rsidRDefault="00F15CB6">
      <w:pPr>
        <w:rPr>
          <w:lang w:val="es-BO"/>
        </w:rPr>
      </w:pPr>
    </w:p>
    <w:p w:rsidR="00F15CB6" w:rsidRPr="006D24DB" w:rsidRDefault="00C96646">
      <w:pPr>
        <w:pBdr>
          <w:bottom w:val="single" w:sz="6" w:space="4" w:color="2E86AB"/>
        </w:pBdr>
        <w:spacing w:before="360" w:after="120"/>
        <w:rPr>
          <w:lang w:val="es-BO"/>
        </w:rPr>
      </w:pPr>
      <w:r w:rsidRPr="006D24DB">
        <w:rPr>
          <w:b/>
          <w:color w:val="1E3A5F"/>
          <w:sz w:val="28"/>
          <w:lang w:val="es-BO"/>
        </w:rPr>
        <w:t>4. Privacidad y Cumplimiento LGPD</w:t>
      </w:r>
    </w:p>
    <w:p w:rsidR="00F15CB6" w:rsidRPr="006D24DB" w:rsidRDefault="00C96646">
      <w:pPr>
        <w:spacing w:before="240" w:after="80"/>
        <w:rPr>
          <w:lang w:val="es-BO"/>
        </w:rPr>
      </w:pPr>
      <w:r w:rsidRPr="006D24DB">
        <w:rPr>
          <w:b/>
          <w:color w:val="2E86AB"/>
          <w:sz w:val="24"/>
          <w:lang w:val="es-BO"/>
        </w:rPr>
        <w:t>4.1 Marco legal aplicable</w:t>
      </w:r>
    </w:p>
    <w:p w:rsidR="00F15CB6" w:rsidRPr="006D24DB" w:rsidRDefault="00C96646">
      <w:pPr>
        <w:spacing w:after="120"/>
        <w:rPr>
          <w:lang w:val="es-BO"/>
        </w:rPr>
      </w:pPr>
      <w:r w:rsidRPr="006D24DB">
        <w:rPr>
          <w:lang w:val="es-BO"/>
        </w:rPr>
        <w:lastRenderedPageBreak/>
        <w:t xml:space="preserve">El dataset corresponde a clientes de Olist en Brasil. La Lei Geral de Proteção de Dados Pessoais (LGPD, Lei nº 13.709/2018) regula el </w:t>
      </w:r>
      <w:r w:rsidRPr="006D24DB">
        <w:rPr>
          <w:lang w:val="es-BO"/>
        </w:rPr>
        <w:t>tratamiento de datos personales en Brasil, con principios equivalentes al GDPR europeo. Entró en vigor en agosto de 2020 con sanciones desde agosto de 2021.</w:t>
      </w:r>
    </w:p>
    <w:p w:rsidR="00F15CB6" w:rsidRDefault="00C96646">
      <w:pPr>
        <w:spacing w:before="240" w:after="80"/>
      </w:pPr>
      <w:r>
        <w:rPr>
          <w:b/>
          <w:color w:val="2E86AB"/>
          <w:sz w:val="24"/>
        </w:rPr>
        <w:t>4.2 Datos utilizados y su clasificación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15CB6">
        <w:tc>
          <w:tcPr>
            <w:tcW w:w="3041" w:type="dxa"/>
            <w:shd w:val="clear" w:color="auto" w:fill="2E86AB"/>
          </w:tcPr>
          <w:p w:rsidR="00F15CB6" w:rsidRDefault="00C96646">
            <w:r>
              <w:rPr>
                <w:b/>
                <w:color w:val="FFFFFF"/>
                <w:sz w:val="21"/>
              </w:rPr>
              <w:t>Variable / Grupo</w:t>
            </w:r>
          </w:p>
        </w:tc>
        <w:tc>
          <w:tcPr>
            <w:tcW w:w="3041" w:type="dxa"/>
            <w:shd w:val="clear" w:color="auto" w:fill="2E86AB"/>
          </w:tcPr>
          <w:p w:rsidR="00F15CB6" w:rsidRDefault="00C96646">
            <w:r>
              <w:rPr>
                <w:b/>
                <w:color w:val="FFFFFF"/>
                <w:sz w:val="21"/>
              </w:rPr>
              <w:t>Tipo de dato</w:t>
            </w:r>
          </w:p>
        </w:tc>
        <w:tc>
          <w:tcPr>
            <w:tcW w:w="3041" w:type="dxa"/>
            <w:shd w:val="clear" w:color="auto" w:fill="2E86AB"/>
          </w:tcPr>
          <w:p w:rsidR="00F15CB6" w:rsidRDefault="00C96646">
            <w:r>
              <w:rPr>
                <w:b/>
                <w:color w:val="FFFFFF"/>
                <w:sz w:val="21"/>
              </w:rPr>
              <w:t>Clasificación LGPD</w:t>
            </w:r>
          </w:p>
        </w:tc>
      </w:tr>
      <w:tr w:rsidR="00F15CB6"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customer_</w:t>
            </w:r>
            <w:r>
              <w:rPr>
                <w:sz w:val="20"/>
              </w:rPr>
              <w:t>unique_id</w:t>
            </w:r>
          </w:p>
        </w:tc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Identificador anonimizado</w:t>
            </w:r>
          </w:p>
        </w:tc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Dato personal seudonimizado</w:t>
            </w:r>
          </w:p>
        </w:tc>
      </w:tr>
      <w:tr w:rsidR="00F15CB6">
        <w:tc>
          <w:tcPr>
            <w:tcW w:w="3041" w:type="dxa"/>
          </w:tcPr>
          <w:p w:rsidR="00F15CB6" w:rsidRDefault="00C96646">
            <w:r>
              <w:rPr>
                <w:sz w:val="20"/>
              </w:rPr>
              <w:t>Historial de órdenes</w:t>
            </w:r>
          </w:p>
        </w:tc>
        <w:tc>
          <w:tcPr>
            <w:tcW w:w="3041" w:type="dxa"/>
          </w:tcPr>
          <w:p w:rsidR="00F15CB6" w:rsidRDefault="00C96646">
            <w:r>
              <w:rPr>
                <w:sz w:val="20"/>
              </w:rPr>
              <w:t>Fechas, montos, categorías</w:t>
            </w:r>
          </w:p>
        </w:tc>
        <w:tc>
          <w:tcPr>
            <w:tcW w:w="3041" w:type="dxa"/>
          </w:tcPr>
          <w:p w:rsidR="00F15CB6" w:rsidRDefault="00C96646">
            <w:r>
              <w:rPr>
                <w:sz w:val="20"/>
              </w:rPr>
              <w:t>Dato personal — comportamiento</w:t>
            </w:r>
          </w:p>
        </w:tc>
      </w:tr>
      <w:tr w:rsidR="00F15CB6"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review_max / buenas</w:t>
            </w:r>
          </w:p>
        </w:tc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Calificaciones de productos</w:t>
            </w:r>
          </w:p>
        </w:tc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Dato personal — opinión</w:t>
            </w:r>
          </w:p>
        </w:tc>
      </w:tr>
      <w:tr w:rsidR="00F15CB6">
        <w:tc>
          <w:tcPr>
            <w:tcW w:w="3041" w:type="dxa"/>
          </w:tcPr>
          <w:p w:rsidR="00F15CB6" w:rsidRDefault="00C96646">
            <w:r>
              <w:rPr>
                <w:sz w:val="20"/>
              </w:rPr>
              <w:t>lead_min, freight_*</w:t>
            </w:r>
          </w:p>
        </w:tc>
        <w:tc>
          <w:tcPr>
            <w:tcW w:w="3041" w:type="dxa"/>
          </w:tcPr>
          <w:p w:rsidR="00F15CB6" w:rsidRPr="006D24DB" w:rsidRDefault="00C96646">
            <w:pPr>
              <w:rPr>
                <w:lang w:val="es-BO"/>
              </w:rPr>
            </w:pPr>
            <w:r w:rsidRPr="006D24DB">
              <w:rPr>
                <w:sz w:val="20"/>
                <w:lang w:val="es-BO"/>
              </w:rPr>
              <w:t xml:space="preserve">Tiempos y costos </w:t>
            </w:r>
            <w:r w:rsidRPr="006D24DB">
              <w:rPr>
                <w:sz w:val="20"/>
                <w:lang w:val="es-BO"/>
              </w:rPr>
              <w:t>de entrega</w:t>
            </w:r>
          </w:p>
        </w:tc>
        <w:tc>
          <w:tcPr>
            <w:tcW w:w="3041" w:type="dxa"/>
          </w:tcPr>
          <w:p w:rsidR="00F15CB6" w:rsidRDefault="00C96646">
            <w:r>
              <w:rPr>
                <w:sz w:val="20"/>
              </w:rPr>
              <w:t>Dato operacional — no sensible</w:t>
            </w:r>
          </w:p>
        </w:tc>
      </w:tr>
      <w:tr w:rsidR="00F15CB6"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customer_zip_prefix</w:t>
            </w:r>
          </w:p>
        </w:tc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Prefijo de código postal</w:t>
            </w:r>
          </w:p>
        </w:tc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Dato personal — ubicación aproximada</w:t>
            </w:r>
          </w:p>
        </w:tc>
      </w:tr>
    </w:tbl>
    <w:p w:rsidR="00F15CB6" w:rsidRDefault="00F15CB6"/>
    <w:p w:rsidR="00F15CB6" w:rsidRDefault="00C96646">
      <w:pPr>
        <w:spacing w:before="240" w:after="80"/>
      </w:pPr>
      <w:r>
        <w:rPr>
          <w:b/>
          <w:color w:val="2E86AB"/>
          <w:sz w:val="24"/>
        </w:rPr>
        <w:t>4.3 Principios LGPD aplicados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Anonimización: </w:t>
      </w:r>
      <w:r w:rsidRPr="006D24DB">
        <w:rPr>
          <w:lang w:val="es-BO"/>
        </w:rPr>
        <w:t>El dataset de Olist es público (Kaggle). customer_unique_id es un hash que no permit</w:t>
      </w:r>
      <w:r w:rsidRPr="006D24DB">
        <w:rPr>
          <w:lang w:val="es-BO"/>
        </w:rPr>
        <w:t>e reidentificación directa.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Minimización de datos: </w:t>
      </w:r>
      <w:r w:rsidRPr="006D24DB">
        <w:rPr>
          <w:lang w:val="es-BO"/>
        </w:rPr>
        <w:t>Las variables seleccionadas son de comportamiento de compra, no datos sensibles (salud, religión, biometría).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Finalidad: </w:t>
      </w:r>
      <w:r w:rsidRPr="006D24DB">
        <w:rPr>
          <w:lang w:val="es-BO"/>
        </w:rPr>
        <w:t xml:space="preserve">El modelo predice comportamiento futuro basado exclusivamente en historial de </w:t>
      </w:r>
      <w:r w:rsidRPr="006D24DB">
        <w:rPr>
          <w:lang w:val="es-BO"/>
        </w:rPr>
        <w:t>compras del propio cliente.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Uso académico: </w:t>
      </w:r>
      <w:r w:rsidRPr="006D24DB">
        <w:rPr>
          <w:lang w:val="es-BO"/>
        </w:rPr>
        <w:t>El dataset se usa únicamente para el desarrollo del modelo académico, no para decisiones comerciales reales.</w:t>
      </w:r>
    </w:p>
    <w:p w:rsidR="00F15CB6" w:rsidRPr="006D24DB" w:rsidRDefault="00C96646">
      <w:pPr>
        <w:spacing w:before="240" w:after="80"/>
        <w:rPr>
          <w:lang w:val="es-BO"/>
        </w:rPr>
      </w:pPr>
      <w:r w:rsidRPr="006D24DB">
        <w:rPr>
          <w:b/>
          <w:color w:val="2E86AB"/>
          <w:sz w:val="24"/>
          <w:lang w:val="es-BO"/>
        </w:rPr>
        <w:t>4.4 Consideraciones para producción real</w:t>
      </w:r>
    </w:p>
    <w:p w:rsidR="00F15CB6" w:rsidRPr="006D24DB" w:rsidRDefault="00C96646">
      <w:pPr>
        <w:spacing w:after="120"/>
        <w:rPr>
          <w:lang w:val="es-BO"/>
        </w:rPr>
      </w:pPr>
      <w:r w:rsidRPr="006D24DB">
        <w:rPr>
          <w:lang w:val="es-BO"/>
        </w:rPr>
        <w:t>Si este modelo se desplegara en un entorno productivo real, ser</w:t>
      </w:r>
      <w:r w:rsidRPr="006D24DB">
        <w:rPr>
          <w:lang w:val="es-BO"/>
        </w:rPr>
        <w:t>ía necesario: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Obtener base legal explícita (consentimiento o legítimo interés) para el tratamiento predictivo.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Implementar el derecho de explicación: el cliente afectado por una decisión automatizada tiene derecho a conocer los motivos.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Registrar el tratam</w:t>
      </w:r>
      <w:r w:rsidRPr="006D24DB">
        <w:rPr>
          <w:lang w:val="es-BO"/>
        </w:rPr>
        <w:t>iento de datos en el Registro de Atividades de Tratamento (RAT).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Designar un Encarregado de Proteção de Dados (DPO) si el volumen de tratamiento lo requiere.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Realizar una Avaliação de Impacto à Proteção de Dados (AIPD) antes del despliegue.</w:t>
      </w:r>
    </w:p>
    <w:p w:rsidR="00F15CB6" w:rsidRPr="006D24DB" w:rsidRDefault="00C96646">
      <w:pPr>
        <w:pBdr>
          <w:bottom w:val="single" w:sz="6" w:space="4" w:color="2E86AB"/>
        </w:pBdr>
        <w:spacing w:before="360" w:after="120"/>
        <w:rPr>
          <w:lang w:val="es-BO"/>
        </w:rPr>
      </w:pPr>
      <w:r w:rsidRPr="006D24DB">
        <w:rPr>
          <w:b/>
          <w:color w:val="1E3A5F"/>
          <w:sz w:val="28"/>
          <w:lang w:val="es-BO"/>
        </w:rPr>
        <w:t xml:space="preserve">5. Uso </w:t>
      </w:r>
      <w:r w:rsidRPr="006D24DB">
        <w:rPr>
          <w:b/>
          <w:color w:val="1E3A5F"/>
          <w:sz w:val="28"/>
          <w:lang w:val="es-BO"/>
        </w:rPr>
        <w:t>Responsable del Modelo</w:t>
      </w:r>
    </w:p>
    <w:p w:rsidR="00F15CB6" w:rsidRPr="006D24DB" w:rsidRDefault="00C96646">
      <w:pPr>
        <w:spacing w:before="240" w:after="80"/>
        <w:rPr>
          <w:lang w:val="es-BO"/>
        </w:rPr>
      </w:pPr>
      <w:r w:rsidRPr="006D24DB">
        <w:rPr>
          <w:b/>
          <w:color w:val="2E86AB"/>
          <w:sz w:val="24"/>
          <w:lang w:val="es-BO"/>
        </w:rPr>
        <w:t>5.1 Usos permitidos y recomendados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Priorizar clientes para campañas de retención proactiva (descuentos, contacto personalizado).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Segmentar la base de clientes por nivel de riesgo para optimizar el presupuesto de marketing.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Identifica</w:t>
      </w:r>
      <w:r w:rsidRPr="006D24DB">
        <w:rPr>
          <w:lang w:val="es-BO"/>
        </w:rPr>
        <w:t>r factores operacionales que aumentan el churn (ej: tiempos de entrega) para mejorar el servicio.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Monitoreo continuo de la salud de la base de clientes.</w:t>
      </w:r>
    </w:p>
    <w:p w:rsidR="00F15CB6" w:rsidRDefault="00C96646">
      <w:pPr>
        <w:spacing w:before="240" w:after="80"/>
      </w:pPr>
      <w:r>
        <w:rPr>
          <w:b/>
          <w:color w:val="2E86AB"/>
          <w:sz w:val="24"/>
        </w:rPr>
        <w:lastRenderedPageBreak/>
        <w:t>5.2 Usos NO recomendados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Negar servicios o beneficios a clientes clasificados como "churn alto" — el mo</w:t>
      </w:r>
      <w:r w:rsidRPr="006D24DB">
        <w:rPr>
          <w:lang w:val="es-BO"/>
        </w:rPr>
        <w:t>delo predice probabilidad, no certeza.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Usar las predicciones como criterio único de decisión sin revisión humana.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Aplicar el modelo a segmentos de clientes muy diferentes al perfil de entrenamiento (ej: clientes B2B vs B2C).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Compartir predicciones individu</w:t>
      </w:r>
      <w:r w:rsidRPr="006D24DB">
        <w:rPr>
          <w:lang w:val="es-BO"/>
        </w:rPr>
        <w:t>ales con terceros sin base legal.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F15CB6" w:rsidRPr="006D24DB">
        <w:tc>
          <w:tcPr>
            <w:tcW w:w="9122" w:type="dxa"/>
            <w:shd w:val="clear" w:color="auto" w:fill="FDECEA"/>
          </w:tcPr>
          <w:p w:rsidR="00F15CB6" w:rsidRPr="006D24DB" w:rsidRDefault="00C96646">
            <w:pPr>
              <w:spacing w:before="120" w:after="120"/>
              <w:rPr>
                <w:lang w:val="es-BO"/>
              </w:rPr>
            </w:pPr>
            <w:r w:rsidRPr="006D24DB">
              <w:rPr>
                <w:i/>
                <w:sz w:val="21"/>
                <w:lang w:val="es-BO"/>
              </w:rPr>
              <w:t>Principio clave: El modelo es una herramienta de apoyo a la decisión, no un sustituto del juicio humano. Un score alto de churn debe iniciar una conversación con el cliente, no una acción automatizada irreversible.</w:t>
            </w:r>
          </w:p>
        </w:tc>
      </w:tr>
    </w:tbl>
    <w:p w:rsidR="00F15CB6" w:rsidRPr="006D24DB" w:rsidRDefault="00F15CB6">
      <w:pPr>
        <w:rPr>
          <w:lang w:val="es-BO"/>
        </w:rPr>
      </w:pPr>
    </w:p>
    <w:p w:rsidR="00F15CB6" w:rsidRPr="006D24DB" w:rsidRDefault="00C96646">
      <w:pPr>
        <w:pBdr>
          <w:bottom w:val="single" w:sz="6" w:space="4" w:color="2E86AB"/>
        </w:pBdr>
        <w:spacing w:before="360" w:after="120"/>
        <w:rPr>
          <w:lang w:val="es-BO"/>
        </w:rPr>
      </w:pPr>
      <w:r w:rsidRPr="006D24DB">
        <w:rPr>
          <w:b/>
          <w:color w:val="1E3A5F"/>
          <w:sz w:val="28"/>
          <w:lang w:val="es-BO"/>
        </w:rPr>
        <w:t xml:space="preserve">6. </w:t>
      </w:r>
      <w:r w:rsidRPr="006D24DB">
        <w:rPr>
          <w:b/>
          <w:color w:val="1E3A5F"/>
          <w:sz w:val="28"/>
          <w:lang w:val="es-BO"/>
        </w:rPr>
        <w:t>Gobernanza y Plan de Monitoreo</w:t>
      </w:r>
    </w:p>
    <w:p w:rsidR="00F15CB6" w:rsidRPr="006D24DB" w:rsidRDefault="00C96646">
      <w:pPr>
        <w:spacing w:before="240" w:after="80"/>
        <w:rPr>
          <w:lang w:val="es-BO"/>
        </w:rPr>
      </w:pPr>
      <w:r w:rsidRPr="006D24DB">
        <w:rPr>
          <w:b/>
          <w:color w:val="2E86AB"/>
          <w:sz w:val="24"/>
          <w:lang w:val="es-BO"/>
        </w:rPr>
        <w:t>6.1 Indicadores de monitoreo en producción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F15CB6">
        <w:tc>
          <w:tcPr>
            <w:tcW w:w="3041" w:type="dxa"/>
            <w:shd w:val="clear" w:color="auto" w:fill="1E3A5F"/>
          </w:tcPr>
          <w:p w:rsidR="00F15CB6" w:rsidRDefault="00C96646">
            <w:r>
              <w:rPr>
                <w:b/>
                <w:color w:val="FFFFFF"/>
                <w:sz w:val="21"/>
              </w:rPr>
              <w:t>Indicador</w:t>
            </w:r>
          </w:p>
        </w:tc>
        <w:tc>
          <w:tcPr>
            <w:tcW w:w="3041" w:type="dxa"/>
            <w:shd w:val="clear" w:color="auto" w:fill="1E3A5F"/>
          </w:tcPr>
          <w:p w:rsidR="00F15CB6" w:rsidRDefault="00C96646">
            <w:r>
              <w:rPr>
                <w:b/>
                <w:color w:val="FFFFFF"/>
                <w:sz w:val="21"/>
              </w:rPr>
              <w:t>Umbral de alerta</w:t>
            </w:r>
          </w:p>
        </w:tc>
        <w:tc>
          <w:tcPr>
            <w:tcW w:w="3041" w:type="dxa"/>
            <w:shd w:val="clear" w:color="auto" w:fill="1E3A5F"/>
          </w:tcPr>
          <w:p w:rsidR="00F15CB6" w:rsidRDefault="00C96646">
            <w:r>
              <w:rPr>
                <w:b/>
                <w:color w:val="FFFFFF"/>
                <w:sz w:val="21"/>
              </w:rPr>
              <w:t>Acción recomendada</w:t>
            </w:r>
          </w:p>
        </w:tc>
      </w:tr>
      <w:tr w:rsidR="00F15CB6"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AUC en producción</w:t>
            </w:r>
          </w:p>
        </w:tc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Caída &gt; 5 puntos vs Live (63%)</w:t>
            </w:r>
          </w:p>
        </w:tc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Reentrenamiento inmediato</w:t>
            </w:r>
          </w:p>
        </w:tc>
      </w:tr>
      <w:tr w:rsidR="00F15CB6">
        <w:tc>
          <w:tcPr>
            <w:tcW w:w="3041" w:type="dxa"/>
          </w:tcPr>
          <w:p w:rsidR="00F15CB6" w:rsidRDefault="00C96646">
            <w:r>
              <w:rPr>
                <w:sz w:val="20"/>
              </w:rPr>
              <w:t>PSI de features</w:t>
            </w:r>
          </w:p>
        </w:tc>
        <w:tc>
          <w:tcPr>
            <w:tcW w:w="3041" w:type="dxa"/>
          </w:tcPr>
          <w:p w:rsidR="00F15CB6" w:rsidRDefault="00C96646">
            <w:r>
              <w:rPr>
                <w:sz w:val="20"/>
              </w:rPr>
              <w:t>PSI &gt; 0.25 en cualquier variable</w:t>
            </w:r>
          </w:p>
        </w:tc>
        <w:tc>
          <w:tcPr>
            <w:tcW w:w="3041" w:type="dxa"/>
          </w:tcPr>
          <w:p w:rsidR="00F15CB6" w:rsidRDefault="00C96646">
            <w:r>
              <w:rPr>
                <w:sz w:val="20"/>
              </w:rPr>
              <w:t xml:space="preserve">Revisar </w:t>
            </w:r>
            <w:r>
              <w:rPr>
                <w:sz w:val="20"/>
              </w:rPr>
              <w:t>distribución + reentrenar</w:t>
            </w:r>
          </w:p>
        </w:tc>
      </w:tr>
      <w:tr w:rsidR="00F15CB6"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Tasa de churn observada</w:t>
            </w:r>
          </w:p>
        </w:tc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Desviación &gt; 2% vs histórico 1.2%</w:t>
            </w:r>
          </w:p>
        </w:tc>
        <w:tc>
          <w:tcPr>
            <w:tcW w:w="3041" w:type="dxa"/>
            <w:shd w:val="clear" w:color="auto" w:fill="F0F4F8"/>
          </w:tcPr>
          <w:p w:rsidR="00F15CB6" w:rsidRDefault="00C96646">
            <w:r>
              <w:rPr>
                <w:sz w:val="20"/>
              </w:rPr>
              <w:t>Análisis de causa raíz</w:t>
            </w:r>
          </w:p>
        </w:tc>
      </w:tr>
      <w:tr w:rsidR="00F15CB6">
        <w:tc>
          <w:tcPr>
            <w:tcW w:w="3041" w:type="dxa"/>
          </w:tcPr>
          <w:p w:rsidR="00F15CB6" w:rsidRDefault="00C96646">
            <w:r>
              <w:rPr>
                <w:sz w:val="20"/>
              </w:rPr>
              <w:t>Lift Decil 1</w:t>
            </w:r>
          </w:p>
        </w:tc>
        <w:tc>
          <w:tcPr>
            <w:tcW w:w="3041" w:type="dxa"/>
          </w:tcPr>
          <w:p w:rsidR="00F15CB6" w:rsidRPr="006D24DB" w:rsidRDefault="00C96646">
            <w:pPr>
              <w:rPr>
                <w:lang w:val="es-BO"/>
              </w:rPr>
            </w:pPr>
            <w:r w:rsidRPr="006D24DB">
              <w:rPr>
                <w:sz w:val="20"/>
                <w:lang w:val="es-BO"/>
              </w:rPr>
              <w:t>Lift &lt; 1.5x en período reciente</w:t>
            </w:r>
          </w:p>
        </w:tc>
        <w:tc>
          <w:tcPr>
            <w:tcW w:w="3041" w:type="dxa"/>
          </w:tcPr>
          <w:p w:rsidR="00F15CB6" w:rsidRDefault="00C96646">
            <w:r>
              <w:rPr>
                <w:sz w:val="20"/>
              </w:rPr>
              <w:t>Revisión del modelo</w:t>
            </w:r>
          </w:p>
        </w:tc>
      </w:tr>
    </w:tbl>
    <w:p w:rsidR="00F15CB6" w:rsidRDefault="00F15CB6"/>
    <w:p w:rsidR="00F15CB6" w:rsidRDefault="00C96646">
      <w:pPr>
        <w:spacing w:before="240" w:after="80"/>
      </w:pPr>
      <w:r>
        <w:rPr>
          <w:b/>
          <w:color w:val="2E86AB"/>
          <w:sz w:val="24"/>
        </w:rPr>
        <w:t>6.2 Ciclo de reentrenamiento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 xml:space="preserve">Frecuencia recomendada: mensual, con los datos del </w:t>
      </w:r>
      <w:r w:rsidRPr="006D24DB">
        <w:rPr>
          <w:lang w:val="es-BO"/>
        </w:rPr>
        <w:t>mes más reciente.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Criterio de reentrenamiento obligatorio: PSI &gt; 0.25 o caída de AUC &gt; 5 puntos.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Evaluación en BackTest y Live antes de desplegar cada nueva versión.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Versionado del modelo: guardar pickle con fecha y métricas de evaluación.</w:t>
      </w:r>
    </w:p>
    <w:p w:rsidR="00F15CB6" w:rsidRDefault="00C96646">
      <w:pPr>
        <w:spacing w:before="240" w:after="80"/>
      </w:pPr>
      <w:r>
        <w:rPr>
          <w:b/>
          <w:color w:val="2E86AB"/>
          <w:sz w:val="24"/>
        </w:rPr>
        <w:t xml:space="preserve">6.3 </w:t>
      </w:r>
      <w:r>
        <w:rPr>
          <w:b/>
          <w:color w:val="2E86AB"/>
          <w:sz w:val="24"/>
        </w:rPr>
        <w:t>Responsabilidades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Data Scientist: </w:t>
      </w:r>
      <w:r w:rsidRPr="006D24DB">
        <w:rPr>
          <w:lang w:val="es-BO"/>
        </w:rPr>
        <w:t>Científico de datos: mantenimiento del modelo, monitoreo de métricas, reentrenamiento.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Negocio: </w:t>
      </w:r>
      <w:r w:rsidRPr="006D24DB">
        <w:rPr>
          <w:lang w:val="es-BO"/>
        </w:rPr>
        <w:t>Equipo de negocio: definición de acciones de retención, validación de resultados en campo.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DPO: </w:t>
      </w:r>
      <w:r w:rsidRPr="006D24DB">
        <w:rPr>
          <w:lang w:val="es-BO"/>
        </w:rPr>
        <w:t>DPO (si aplica): supervisión d</w:t>
      </w:r>
      <w:r w:rsidRPr="006D24DB">
        <w:rPr>
          <w:lang w:val="es-BO"/>
        </w:rPr>
        <w:t>el cumplimiento LGPD, auditorías de uso del modelo.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Dirección: </w:t>
      </w:r>
      <w:r w:rsidRPr="006D24DB">
        <w:rPr>
          <w:lang w:val="es-BO"/>
        </w:rPr>
        <w:t>Alta dirección: aprobación del uso del modelo para decisiones de alto impacto.</w:t>
      </w:r>
    </w:p>
    <w:p w:rsidR="00F15CB6" w:rsidRDefault="00C96646">
      <w:pPr>
        <w:pBdr>
          <w:bottom w:val="single" w:sz="6" w:space="4" w:color="2E86AB"/>
        </w:pBdr>
        <w:spacing w:before="360" w:after="120"/>
      </w:pPr>
      <w:r>
        <w:rPr>
          <w:b/>
          <w:color w:val="1E3A5F"/>
          <w:sz w:val="28"/>
        </w:rPr>
        <w:t>7. Limitaciones del Modelo</w:t>
      </w:r>
    </w:p>
    <w:p w:rsidR="00F15CB6" w:rsidRDefault="00C96646">
      <w:pPr>
        <w:pStyle w:val="Listaconvietas"/>
        <w:spacing w:after="60"/>
      </w:pPr>
      <w:r w:rsidRPr="006D24DB">
        <w:rPr>
          <w:b/>
          <w:lang w:val="es-BO"/>
        </w:rPr>
        <w:t xml:space="preserve">Capacidad predictiva: </w:t>
      </w:r>
      <w:r w:rsidRPr="006D24DB">
        <w:rPr>
          <w:lang w:val="es-BO"/>
        </w:rPr>
        <w:t xml:space="preserve">AUC de 63% indica capacidad predictiva moderada. </w:t>
      </w:r>
      <w:r>
        <w:t xml:space="preserve">El modelo no </w:t>
      </w:r>
      <w:r>
        <w:t>predice con certeza, solo estima probabilidades.</w:t>
      </w:r>
    </w:p>
    <w:p w:rsidR="00F15CB6" w:rsidRDefault="00C96646">
      <w:pPr>
        <w:pStyle w:val="Listaconvietas"/>
        <w:spacing w:after="60"/>
      </w:pPr>
      <w:r w:rsidRPr="006D24DB">
        <w:rPr>
          <w:b/>
          <w:lang w:val="es-BO"/>
        </w:rPr>
        <w:lastRenderedPageBreak/>
        <w:t xml:space="preserve">Representatividad: </w:t>
      </w:r>
      <w:r w:rsidRPr="006D24DB">
        <w:rPr>
          <w:lang w:val="es-BO"/>
        </w:rPr>
        <w:t xml:space="preserve">Datos de 2016-2018 de una plataforma brasileña en crecimiento. </w:t>
      </w:r>
      <w:r>
        <w:t>Puede no generalizar a otros mercados o períodos.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Variables externas: </w:t>
      </w:r>
      <w:r w:rsidRPr="006D24DB">
        <w:rPr>
          <w:lang w:val="es-BO"/>
        </w:rPr>
        <w:t>El modelo no captura eventos externos (crisis económica</w:t>
      </w:r>
      <w:r w:rsidRPr="006D24DB">
        <w:rPr>
          <w:lang w:val="es-BO"/>
        </w:rPr>
        <w:t>, competencia nueva, cambios de política) que impacten el churn.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Desbalance extremo: </w:t>
      </w:r>
      <w:r w:rsidRPr="006D24DB">
        <w:rPr>
          <w:lang w:val="es-BO"/>
        </w:rPr>
        <w:t>La tasa de churn del 1.2% es muy baja — pequeños errores de clasificación tienen gran impacto en métricas de precisión.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b/>
          <w:lang w:val="es-BO"/>
        </w:rPr>
        <w:t xml:space="preserve">Impacto económico: </w:t>
      </w:r>
      <w:r w:rsidRPr="006D24DB">
        <w:rPr>
          <w:lang w:val="es-BO"/>
        </w:rPr>
        <w:t>El CLV y el costo de campaña usa</w:t>
      </w:r>
      <w:r w:rsidRPr="006D24DB">
        <w:rPr>
          <w:lang w:val="es-BO"/>
        </w:rPr>
        <w:t>dos en el análisis económico son estimaciones de mercado, no valores reales de Olist.</w:t>
      </w:r>
    </w:p>
    <w:p w:rsidR="00F15CB6" w:rsidRPr="006D24DB" w:rsidRDefault="00C96646">
      <w:pPr>
        <w:pBdr>
          <w:bottom w:val="single" w:sz="6" w:space="4" w:color="2E86AB"/>
        </w:pBdr>
        <w:spacing w:before="360" w:after="120"/>
        <w:rPr>
          <w:lang w:val="es-BO"/>
        </w:rPr>
      </w:pPr>
      <w:r w:rsidRPr="006D24DB">
        <w:rPr>
          <w:b/>
          <w:color w:val="1E3A5F"/>
          <w:sz w:val="28"/>
          <w:lang w:val="es-BO"/>
        </w:rPr>
        <w:t>8. Conclusiones y Recomendaciones</w:t>
      </w:r>
    </w:p>
    <w:p w:rsidR="00F15CB6" w:rsidRPr="006D24DB" w:rsidRDefault="00C96646">
      <w:pPr>
        <w:spacing w:after="120"/>
        <w:rPr>
          <w:lang w:val="es-BO"/>
        </w:rPr>
      </w:pPr>
      <w:r w:rsidRPr="006D24DB">
        <w:rPr>
          <w:lang w:val="es-BO"/>
        </w:rPr>
        <w:t>El modelo de churn desarrollado cumple con los principios éticos fundamentales para sistemas de machine learning aplicados a datos de cl</w:t>
      </w:r>
      <w:r w:rsidRPr="006D24DB">
        <w:rPr>
          <w:lang w:val="es-BO"/>
        </w:rPr>
        <w:t>ientes: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Transparente: utiliza Logistic Regression con coeficientes interpretables y análisis SHAP.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Honesto: evaluación en tres períodos independientes sin contaminación metodológica.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 xml:space="preserve">Robusto: corrige data leakage, controla overfitting y valida estabilidad </w:t>
      </w:r>
      <w:r w:rsidRPr="006D24DB">
        <w:rPr>
          <w:lang w:val="es-BO"/>
        </w:rPr>
        <w:t>temporal.</w:t>
      </w:r>
    </w:p>
    <w:p w:rsidR="00F15CB6" w:rsidRPr="006D24DB" w:rsidRDefault="00C96646">
      <w:pPr>
        <w:pStyle w:val="Listaconvietas"/>
        <w:spacing w:after="60"/>
        <w:rPr>
          <w:lang w:val="es-BO"/>
        </w:rPr>
      </w:pPr>
      <w:r w:rsidRPr="006D24DB">
        <w:rPr>
          <w:lang w:val="es-BO"/>
        </w:rPr>
        <w:t>Accionable: Lift 2.24x permite campañas de retención 2x más eficientes que la selección aleatoria.</w:t>
      </w:r>
    </w:p>
    <w:p w:rsidR="00F15CB6" w:rsidRPr="006D24DB" w:rsidRDefault="00F15CB6">
      <w:pPr>
        <w:rPr>
          <w:lang w:val="es-BO"/>
        </w:rPr>
      </w:pPr>
    </w:p>
    <w:p w:rsidR="00F15CB6" w:rsidRPr="006D24DB" w:rsidRDefault="00C96646">
      <w:pPr>
        <w:spacing w:after="120"/>
        <w:rPr>
          <w:lang w:val="es-BO"/>
        </w:rPr>
      </w:pPr>
      <w:r w:rsidRPr="006D24DB">
        <w:rPr>
          <w:lang w:val="es-BO"/>
        </w:rPr>
        <w:t>Para un despliegue responsable en producción, se recomienda implementar el plan de monitoreo descrito en la Sección 6, obtener las bases legales L</w:t>
      </w:r>
      <w:r w:rsidRPr="006D24DB">
        <w:rPr>
          <w:lang w:val="es-BO"/>
        </w:rPr>
        <w:t>GPD correspondientes y mantener siempre la supervisión humana sobre las decisiones de retención de clientes.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22"/>
      </w:tblGrid>
      <w:tr w:rsidR="00F15CB6" w:rsidRPr="006D24DB">
        <w:tc>
          <w:tcPr>
            <w:tcW w:w="9122" w:type="dxa"/>
            <w:shd w:val="clear" w:color="auto" w:fill="E8F4FD"/>
          </w:tcPr>
          <w:p w:rsidR="00F15CB6" w:rsidRPr="006D24DB" w:rsidRDefault="00C96646">
            <w:pPr>
              <w:spacing w:before="120" w:after="120"/>
              <w:rPr>
                <w:lang w:val="es-BO"/>
              </w:rPr>
            </w:pPr>
            <w:r w:rsidRPr="006D24DB">
              <w:rPr>
                <w:i/>
                <w:sz w:val="21"/>
                <w:lang w:val="es-BO"/>
              </w:rPr>
              <w:t>El modelo es un punto de partida, no un oráculo. Su valor real está en orientar recursos hacia los clientes con mayor riesgo, no en reemplazar el c</w:t>
            </w:r>
            <w:r w:rsidRPr="006D24DB">
              <w:rPr>
                <w:i/>
                <w:sz w:val="21"/>
                <w:lang w:val="es-BO"/>
              </w:rPr>
              <w:t>riterio humano ni en automatizar decisiones que afecten derechos de los clientes.</w:t>
            </w:r>
          </w:p>
        </w:tc>
      </w:tr>
    </w:tbl>
    <w:p w:rsidR="00F15CB6" w:rsidRPr="006D24DB" w:rsidRDefault="00F15CB6">
      <w:pPr>
        <w:rPr>
          <w:lang w:val="es-BO"/>
        </w:rPr>
      </w:pPr>
    </w:p>
    <w:sectPr w:rsidR="00F15CB6" w:rsidRPr="006D24DB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6646" w:rsidRDefault="00C96646">
      <w:pPr>
        <w:spacing w:after="0" w:line="240" w:lineRule="auto"/>
      </w:pPr>
      <w:r>
        <w:separator/>
      </w:r>
    </w:p>
  </w:endnote>
  <w:endnote w:type="continuationSeparator" w:id="0">
    <w:p w:rsidR="00C96646" w:rsidRDefault="00C96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CB6" w:rsidRPr="006D24DB" w:rsidRDefault="00C96646">
    <w:pPr>
      <w:pStyle w:val="Piedepgina"/>
      <w:jc w:val="center"/>
      <w:rPr>
        <w:lang w:val="es-BO"/>
      </w:rPr>
    </w:pPr>
    <w:r w:rsidRPr="006D24DB">
      <w:rPr>
        <w:color w:val="888888"/>
        <w:sz w:val="18"/>
        <w:lang w:val="es-BO"/>
      </w:rPr>
      <w:t>Informe Ético y de Gobernanza · Modelo de Churn Olist · Grupo 7 · Sprint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6646" w:rsidRDefault="00C96646">
      <w:pPr>
        <w:spacing w:after="0" w:line="240" w:lineRule="auto"/>
      </w:pPr>
      <w:r>
        <w:separator/>
      </w:r>
    </w:p>
  </w:footnote>
  <w:footnote w:type="continuationSeparator" w:id="0">
    <w:p w:rsidR="00C96646" w:rsidRDefault="00C966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4DB"/>
    <w:rsid w:val="00AA1D8D"/>
    <w:rsid w:val="00B47730"/>
    <w:rsid w:val="00C96646"/>
    <w:rsid w:val="00CB0664"/>
    <w:rsid w:val="00F15C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389E28"/>
  <w14:defaultImageDpi w14:val="300"/>
  <w15:docId w15:val="{9C2F10DE-D620-488F-A4A3-54E52D15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B49CC3-AF6D-4326-B869-E41A17576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1581</Words>
  <Characters>8700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percy fuentes</cp:lastModifiedBy>
  <cp:revision>2</cp:revision>
  <cp:lastPrinted>2026-06-20T13:03:00Z</cp:lastPrinted>
  <dcterms:created xsi:type="dcterms:W3CDTF">2013-12-23T23:15:00Z</dcterms:created>
  <dcterms:modified xsi:type="dcterms:W3CDTF">2026-06-20T13:04:00Z</dcterms:modified>
  <cp:category/>
</cp:coreProperties>
</file>