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65296" w14:textId="240B2ECB" w:rsidR="00E847E4" w:rsidRDefault="00000000">
      <w:pPr>
        <w:pStyle w:val="CustomTitle"/>
        <w:jc w:val="center"/>
      </w:pPr>
      <w:r>
        <w:t xml:space="preserve">Sociotechnical Audit </w:t>
      </w:r>
      <w:r w:rsidR="00CD397E">
        <w:t>Framework</w:t>
      </w:r>
    </w:p>
    <w:p w14:paraId="41B1CAE3" w14:textId="4FF06E60" w:rsidR="00CD397E" w:rsidRDefault="00CD397E">
      <w:pPr>
        <w:pStyle w:val="CustomTitle"/>
        <w:jc w:val="center"/>
      </w:pPr>
      <w:r>
        <w:t>Responsible Machine Learning</w:t>
      </w:r>
    </w:p>
    <w:p w14:paraId="7A8B334F" w14:textId="2C197C5E" w:rsidR="00E847E4" w:rsidRDefault="00CD397E">
      <w:pPr>
        <w:pStyle w:val="CustomSubtitle"/>
        <w:jc w:val="center"/>
      </w:pPr>
      <w:r>
        <w:t xml:space="preserve">Group </w:t>
      </w:r>
      <w:r w:rsidR="005B53D3">
        <w:t xml:space="preserve">4 </w:t>
      </w:r>
      <w:r>
        <w:t>Homework 04</w:t>
      </w:r>
    </w:p>
    <w:p w14:paraId="493C506A" w14:textId="68C4E4AF" w:rsidR="00E847E4" w:rsidRDefault="00E847E4">
      <w:pPr>
        <w:spacing w:after="240"/>
        <w:jc w:val="center"/>
      </w:pPr>
    </w:p>
    <w:tbl>
      <w:tblPr>
        <w:tblW w:w="0" w:type="auto"/>
        <w:jc w:val="center"/>
        <w:tblLook w:val="04A0" w:firstRow="1" w:lastRow="0" w:firstColumn="1" w:lastColumn="0" w:noHBand="0" w:noVBand="1"/>
      </w:tblPr>
      <w:tblGrid>
        <w:gridCol w:w="9360"/>
      </w:tblGrid>
      <w:tr w:rsidR="00E847E4" w14:paraId="70673DCB" w14:textId="77777777">
        <w:trPr>
          <w:jc w:val="center"/>
        </w:trPr>
        <w:tc>
          <w:tcPr>
            <w:tcW w:w="9360" w:type="dxa"/>
            <w:shd w:val="clear" w:color="auto" w:fill="2F5597"/>
            <w:tcMar>
              <w:top w:w="10" w:type="dxa"/>
              <w:left w:w="10" w:type="dxa"/>
              <w:bottom w:w="10" w:type="dxa"/>
              <w:right w:w="10" w:type="dxa"/>
            </w:tcMar>
          </w:tcPr>
          <w:p w14:paraId="29E5CFF2" w14:textId="77777777" w:rsidR="00E847E4" w:rsidRDefault="00E847E4"/>
        </w:tc>
      </w:tr>
    </w:tbl>
    <w:p w14:paraId="43BA8E81" w14:textId="77777777" w:rsidR="00E847E4" w:rsidRDefault="00E847E4"/>
    <w:tbl>
      <w:tblPr>
        <w:tblW w:w="0" w:type="auto"/>
        <w:jc w:val="center"/>
        <w:tblLayout w:type="fixed"/>
        <w:tblLook w:val="04A0" w:firstRow="1" w:lastRow="0" w:firstColumn="1" w:lastColumn="0" w:noHBand="0" w:noVBand="1"/>
      </w:tblPr>
      <w:tblGrid>
        <w:gridCol w:w="9072"/>
      </w:tblGrid>
      <w:tr w:rsidR="00E847E4" w14:paraId="26B9A48E" w14:textId="77777777">
        <w:trPr>
          <w:jc w:val="center"/>
        </w:trPr>
        <w:tc>
          <w:tcPr>
            <w:tcW w:w="9072" w:type="dxa"/>
            <w:shd w:val="clear" w:color="auto" w:fill="F3F7FB"/>
            <w:tcMar>
              <w:top w:w="120" w:type="dxa"/>
              <w:left w:w="160" w:type="dxa"/>
              <w:bottom w:w="120" w:type="dxa"/>
              <w:right w:w="160" w:type="dxa"/>
            </w:tcMar>
          </w:tcPr>
          <w:p w14:paraId="66F9CB25" w14:textId="77777777" w:rsidR="00E847E4" w:rsidRDefault="00000000">
            <w:pPr>
              <w:spacing w:after="120"/>
            </w:pPr>
            <w:r>
              <w:rPr>
                <w:b/>
                <w:color w:val="1F4E79"/>
              </w:rPr>
              <w:t>Executive Summary</w:t>
            </w:r>
          </w:p>
          <w:p w14:paraId="681C74CC" w14:textId="43A2AF9B" w:rsidR="00E847E4" w:rsidRDefault="00C603ED" w:rsidP="00C603ED">
            <w:pPr>
              <w:pStyle w:val="BoxText"/>
              <w:spacing w:after="120" w:line="276" w:lineRule="auto"/>
            </w:pPr>
            <w:r w:rsidRPr="00C603ED">
              <w:t>This report presents a sociotechnical audit framework for evaluating predictive models under distribution shift, generalization failure, subgroup disparity, and robustness stress. The framework links measurement to action by showing how technical signals should inform governance decisions, escalation, and remediation. Using the class COMPAS pipeline as an illustrative case, the report shows that strong aggregate performance is not sufficient for defensible deployment. A predictive system is defensible only when it is monitored continuously, tested at the slice level, stress-tested under change, and supported by clear response rules</w:t>
            </w:r>
            <w:r w:rsidR="00000000">
              <w:t>.</w:t>
            </w:r>
          </w:p>
        </w:tc>
      </w:tr>
    </w:tbl>
    <w:p w14:paraId="3AEAAB63" w14:textId="77777777" w:rsidR="00E847E4" w:rsidRDefault="00000000">
      <w:r>
        <w:br w:type="page"/>
      </w:r>
    </w:p>
    <w:p w14:paraId="57BDB999" w14:textId="77E497AA" w:rsidR="00E847E4" w:rsidRDefault="00095710">
      <w:pPr>
        <w:pStyle w:val="Heading1"/>
      </w:pPr>
      <w:r>
        <w:rPr>
          <w:noProof/>
        </w:rPr>
        <w:lastRenderedPageBreak/>
        <mc:AlternateContent>
          <mc:Choice Requires="wps">
            <w:drawing>
              <wp:anchor distT="0" distB="0" distL="114300" distR="114300" simplePos="0" relativeHeight="251659264" behindDoc="0" locked="0" layoutInCell="1" allowOverlap="1" wp14:anchorId="179B4348" wp14:editId="4E354A63">
                <wp:simplePos x="0" y="0"/>
                <wp:positionH relativeFrom="column">
                  <wp:posOffset>133350</wp:posOffset>
                </wp:positionH>
                <wp:positionV relativeFrom="paragraph">
                  <wp:posOffset>316230</wp:posOffset>
                </wp:positionV>
                <wp:extent cx="6019800" cy="1710690"/>
                <wp:effectExtent l="57150" t="19050" r="76200" b="99060"/>
                <wp:wrapNone/>
                <wp:docPr id="404707499" name="Rectangle 1"/>
                <wp:cNvGraphicFramePr/>
                <a:graphic xmlns:a="http://schemas.openxmlformats.org/drawingml/2006/main">
                  <a:graphicData uri="http://schemas.microsoft.com/office/word/2010/wordprocessingShape">
                    <wps:wsp>
                      <wps:cNvSpPr/>
                      <wps:spPr>
                        <a:xfrm>
                          <a:off x="0" y="0"/>
                          <a:ext cx="6019800" cy="171069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B23D4B" id="Rectangle 1" o:spid="_x0000_s1026" style="position:absolute;margin-left:10.5pt;margin-top:24.9pt;width:474pt;height:134.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" fillcolor="#4f81bd [3204]" strokecolor="#4579b8 [3044]">
                <v:fill color2="#a7bfde [1620]" rotate="t" angle="180" focus="100%" type="gradient">
                  <o:fill v:ext="view" type="gradientUnscaled"/>
                </v:fill>
                <v:shadow on="t" color="black" opacity="22937f" origin=",.5" offset="0,.63889mm"/>
              </v:rect>
            </w:pict>
          </mc:Fallback>
        </mc:AlternateContent>
      </w:r>
      <w:r w:rsidR="00000000">
        <w:t>Audit Pipeline Diagram</w:t>
      </w:r>
    </w:p>
    <w:p w14:paraId="153A7CA4" w14:textId="77777777" w:rsidR="00095710" w:rsidRPr="00095710" w:rsidRDefault="00095710" w:rsidP="00095710"/>
    <w:p w14:paraId="336C2722" w14:textId="77777777" w:rsidR="00095710" w:rsidRDefault="00095710">
      <w:pPr>
        <w:pStyle w:val="Heading1"/>
      </w:pPr>
    </w:p>
    <w:p w14:paraId="6D460671" w14:textId="77777777" w:rsidR="00095710" w:rsidRDefault="00095710">
      <w:pPr>
        <w:pStyle w:val="Heading1"/>
      </w:pPr>
    </w:p>
    <w:p w14:paraId="5ED63890" w14:textId="77777777" w:rsidR="00095710" w:rsidRDefault="00095710">
      <w:pPr>
        <w:pStyle w:val="Heading1"/>
      </w:pPr>
    </w:p>
    <w:p w14:paraId="7B161972" w14:textId="77777777" w:rsidR="00095710" w:rsidRDefault="00095710">
      <w:pPr>
        <w:pStyle w:val="Heading1"/>
      </w:pPr>
    </w:p>
    <w:p w14:paraId="4CE08C3D" w14:textId="5B44D7C2" w:rsidR="00E847E4" w:rsidRDefault="00000000">
      <w:pPr>
        <w:pStyle w:val="Heading1"/>
      </w:pPr>
      <w:r>
        <w:t>Introduction</w:t>
      </w:r>
    </w:p>
    <w:p w14:paraId="55A28AD0" w14:textId="3B9B0A75" w:rsidR="00C603ED" w:rsidRDefault="00C603ED" w:rsidP="00C603ED">
      <w:r>
        <w:t>Predictive models used in high-stakes settings can fail even when standard evaluation metrics appear acceptable. A system may perform well on validation or test data and still become unreliable in deployment because of distribution shift, overfitting, shortcut reliance, subgroup disparity, or weak robustness. For that reason, responsible model evaluation requires more than average performance reporting. It requires a framework that can identify failure modes, interpret their operational meaning, and connect them to governance action.</w:t>
      </w:r>
    </w:p>
    <w:p w14:paraId="365560B6" w14:textId="45ECF342" w:rsidR="00C603ED" w:rsidRDefault="00C603ED" w:rsidP="00C603ED">
      <w:r>
        <w:t>This report develops a four-stage sociotechnical audit framework for predictive systems. First, it defines the main post-deployment failure modes and distinguishes covariate shift, label shift, and concept drift. Second, it maps each risk type to the metrics that detect it, the failure mode it signals, and the policy response it should trigger. Third, it analyzes a failure scenario in which strong aggregate performance coexists with meaningful subgroup error disparities. Fourth, it evaluates two less discriminatory alternatives and their tradeoffs.</w:t>
      </w:r>
    </w:p>
    <w:p w14:paraId="50EBBB31" w14:textId="046BEE21" w:rsidR="00E847E4" w:rsidRDefault="00C603ED" w:rsidP="00C603ED">
      <w:r>
        <w:t>The framework is illustrated using the class COMPAS pipeline, where an interpretable logistic regression baseline and a higher-capacity gradient-boosted model are examined through drift tests, train-test performance gaps, counterfactual swaps, slice-based evaluation, and stress testing. Although the illustrative case is specific, the framework is designed to be reusable across other predictive systems in business, public-sector, and regulated environments</w:t>
      </w:r>
      <w:r w:rsidR="00CD397E">
        <w:t>.</w:t>
      </w:r>
    </w:p>
    <w:p w14:paraId="7E792EA6" w14:textId="77777777" w:rsidR="00E847E4" w:rsidRDefault="00000000">
      <w:pPr>
        <w:pStyle w:val="Heading1"/>
      </w:pPr>
      <w:r>
        <w:t>Part A. Conceptual Framework</w:t>
      </w:r>
    </w:p>
    <w:p w14:paraId="09FF8D12" w14:textId="77777777" w:rsidR="00E847E4" w:rsidRDefault="00000000">
      <w:pPr>
        <w:pStyle w:val="Heading2"/>
      </w:pPr>
      <w:r>
        <w:t>1. Drift</w:t>
      </w:r>
    </w:p>
    <w:p w14:paraId="2BD39B45" w14:textId="1AE1BDCF" w:rsidR="00E847E4" w:rsidRDefault="0075445F">
      <w:r w:rsidRPr="0075445F">
        <w:t>Drift refers to a change between the data distribution used during model development and the distribution observed after deployment. From a business perspective, this matters because a model is always a historical artifact: it learns from past data and assumes that future cases will behave in a similar way. When that assumption weakens, predictions, rankings, or classification performance can deteriorate even if the code and model remain unchanged</w:t>
      </w:r>
      <w:r>
        <w:t>.</w:t>
      </w:r>
    </w:p>
    <w:p w14:paraId="6FF87497" w14:textId="77777777" w:rsidR="00E847E4" w:rsidRDefault="00000000">
      <w:pPr>
        <w:pStyle w:val="Heading2"/>
      </w:pPr>
      <w:r>
        <w:t>1.1 Covariate Shift, Label Shift, and Concept Drift</w:t>
      </w:r>
    </w:p>
    <w:p w14:paraId="2483867C" w14:textId="44548B73" w:rsidR="00DB6123" w:rsidRDefault="00DB6123" w:rsidP="00DB6123">
      <w:r>
        <w:t xml:space="preserve">These three shift types must be separated because they imply different business risks and different remediation choices. Covariate shift occurs when the input distribution changes while the relationship </w:t>
      </w:r>
      <w:r>
        <w:lastRenderedPageBreak/>
        <w:t>between inputs and the outcome remains stable.</w:t>
      </w:r>
      <w:r w:rsidR="00472B29">
        <w:t xml:space="preserve"> T</w:t>
      </w:r>
      <w:r>
        <w:t>his often means that the customer, applicant, or transaction mix has changed, even though the underlying risk mechanism has not. In that case, the model may still be useful, but monitoring, reweighting, or segmentation may be needed to restore reliability.</w:t>
      </w:r>
    </w:p>
    <w:p w14:paraId="596EA3B4" w14:textId="4577BE19" w:rsidR="00DB6123" w:rsidRDefault="00DB6123" w:rsidP="00DB6123">
      <w:r>
        <w:t xml:space="preserve">Label shift occurs when the prevalence of the outcome changes while the relationship between features and the outcome remains stable. </w:t>
      </w:r>
      <w:r w:rsidR="00472B29">
        <w:t>This</w:t>
      </w:r>
      <w:r>
        <w:t xml:space="preserve"> means the base rate of positives or negatives has moved, so decision thresholds, capacity planning, or alert rates may no longer be appropriate even if the model logic is still broadly valid.</w:t>
      </w:r>
    </w:p>
    <w:p w14:paraId="299DAC7C" w14:textId="048B1B8B" w:rsidR="00E847E4" w:rsidRDefault="00DB6123" w:rsidP="00DB6123">
      <w:r>
        <w:t>Concept drift is more serious because the relationship P(Y</w:t>
      </w:r>
      <w:r>
        <w:rPr>
          <w:rFonts w:ascii="Cambria Math" w:hAnsi="Cambria Math" w:cs="Cambria Math"/>
        </w:rPr>
        <w:t>∣</w:t>
      </w:r>
      <w:r>
        <w:t>X) itself changes. In that case, the model</w:t>
      </w:r>
      <w:r>
        <w:rPr>
          <w:rFonts w:cs="Calibri"/>
        </w:rPr>
        <w:t>’</w:t>
      </w:r>
      <w:r>
        <w:t>s learned logic is no longer reliable in the same way, so recalibration alone is usually insufficient. This is the shift type most likely to require retraining, redesign, or stronger governance review. In practice, misdiagnosing the type of shift leads to poor remediation choices: a threshold adjustment may help under label shift, but concept drift can silently degrade both predictive performance and subgroup fairness if the model continues to be used without deeper intervention.</w:t>
      </w:r>
    </w:p>
    <w:p w14:paraId="20EECC9E" w14:textId="42071837" w:rsidR="00E847E4" w:rsidRDefault="00000000">
      <w:pPr>
        <w:pStyle w:val="Heading2"/>
      </w:pPr>
      <w:r>
        <w:t>2. Generalization</w:t>
      </w:r>
      <w:r w:rsidR="00DB6123">
        <w:t xml:space="preserve"> failure</w:t>
      </w:r>
    </w:p>
    <w:p w14:paraId="042C8C63" w14:textId="2F5D0E01" w:rsidR="00E847E4" w:rsidRDefault="00007C5F">
      <w:r w:rsidRPr="00007C5F">
        <w:t>Generalization is a model’s ability to perform reliably on unseen but similar data. It asks whether the model has learned a stable signal or mainly memorized patterns specific to the development sample. A large generalization gap suggests that strong development performance should not be treated as reliable evidence for production decisions</w:t>
      </w:r>
      <w:r>
        <w:t>.</w:t>
      </w:r>
    </w:p>
    <w:p w14:paraId="3C127447" w14:textId="77777777" w:rsidR="00E847E4" w:rsidRDefault="00000000">
      <w:pPr>
        <w:pStyle w:val="Heading2"/>
      </w:pPr>
      <w:r>
        <w:t>2.1 Overfitting</w:t>
      </w:r>
    </w:p>
    <w:p w14:paraId="2B03981E" w14:textId="693CCD25" w:rsidR="00E847E4" w:rsidRDefault="00140F8F">
      <w:r w:rsidRPr="00140F8F">
        <w:t>Overfitting is a generalization failure in which the model captures quirks of the training sample instead of stable structure. A high-capacity model may report strong validation metrics and still perform poorly on new data if the training and validation sets share the same hidden confound.</w:t>
      </w:r>
      <w:r>
        <w:t xml:space="preserve"> O</w:t>
      </w:r>
      <w:r w:rsidRPr="00140F8F">
        <w:t>verfitting creates false confidence, weakens governance defensibility, and increases model risk because the institution cannot credibly explain why strong pre-deployment results did not hold in practice</w:t>
      </w:r>
      <w:r>
        <w:t>.</w:t>
      </w:r>
    </w:p>
    <w:p w14:paraId="0CA09144" w14:textId="6EB63AFA" w:rsidR="00C57885" w:rsidRDefault="00C57885" w:rsidP="00C57885">
      <w:pPr>
        <w:pStyle w:val="Heading2"/>
      </w:pPr>
      <w:r>
        <w:t>2.</w:t>
      </w:r>
      <w:r>
        <w:t xml:space="preserve">2 </w:t>
      </w:r>
      <w:r w:rsidRPr="00C57885">
        <w:t>Spurious Correlation and Shortcut Learning</w:t>
      </w:r>
    </w:p>
    <w:p w14:paraId="24556CAD" w14:textId="49877D78" w:rsidR="00C57885" w:rsidRDefault="00C57885">
      <w:r w:rsidRPr="00C57885">
        <w:t>A spurious correlation is a statistical association between a feature and the outcome that is not causal or stable, but instead reflects a confound from the training context. Shortcut learning is a related failure in which the model solves an easier proxy task rather than the intended task. These failures matter because a model may appear accurate while relying on unstable or weakly justified signals. In governance terms, this means that strong validation performance does not guarantee defensible reasoning, especially if the same confound is present in both training and test data</w:t>
      </w:r>
      <w:r>
        <w:t>.</w:t>
      </w:r>
    </w:p>
    <w:p w14:paraId="43EF85F3" w14:textId="79D6916B" w:rsidR="00E847E4" w:rsidRDefault="00000000">
      <w:pPr>
        <w:pStyle w:val="Heading2"/>
      </w:pPr>
      <w:r>
        <w:t xml:space="preserve">3. </w:t>
      </w:r>
      <w:r w:rsidR="00140F8F">
        <w:t>Subgroup Disparity</w:t>
      </w:r>
    </w:p>
    <w:p w14:paraId="56F286F4" w14:textId="1A304E17" w:rsidR="00E847E4" w:rsidRDefault="00140F8F">
      <w:r w:rsidRPr="00140F8F">
        <w:t>Subgroup disparity refers to differences in model outcomes or error rates across protected groups, even when aggregate performance appears acceptable. In responsible machine learning, this matters because a model can achieve high overall accuracy while imposing higher false positive rates, lower selection rates, or worse reliability for specific groups. From a governance perspective, subgroup disparity is evaluated through metrics such as AIR, FPR, and FNR, because average performance alone can conceal concentrated harms</w:t>
      </w:r>
      <w:r>
        <w:t>.</w:t>
      </w:r>
    </w:p>
    <w:p w14:paraId="31302A04" w14:textId="12A9A025" w:rsidR="00E847E4" w:rsidRDefault="00000000">
      <w:pPr>
        <w:pStyle w:val="Heading2"/>
      </w:pPr>
      <w:r>
        <w:lastRenderedPageBreak/>
        <w:t>4. Robustness</w:t>
      </w:r>
      <w:r w:rsidR="00140F8F">
        <w:t xml:space="preserve"> Stress </w:t>
      </w:r>
    </w:p>
    <w:p w14:paraId="1FC89A18" w14:textId="69D829BE" w:rsidR="00E847E4" w:rsidRDefault="00C57885">
      <w:r w:rsidRPr="00C57885">
        <w:t>Robustness asks whether model performance degrades gracefully rather than catastrophically when inputs move away from the training distribution. A model may generalize acceptably on average and still fail under realistic perturbations, subgroup slices, or operational stress. Robustness is therefore evidence that the model remains reliable under deployment conditions, not only in narrow evaluation settings</w:t>
      </w:r>
      <w:r w:rsidR="00000000">
        <w:t>.</w:t>
      </w:r>
    </w:p>
    <w:p w14:paraId="3FC9A141" w14:textId="353C070B" w:rsidR="00D8018E" w:rsidRDefault="00D8018E">
      <w:pPr>
        <w:spacing w:after="200"/>
      </w:pPr>
      <w:r>
        <w:br w:type="page"/>
      </w:r>
    </w:p>
    <w:p w14:paraId="5AE6EEF6" w14:textId="77777777" w:rsidR="00D8018E" w:rsidRDefault="00D8018E"/>
    <w:p w14:paraId="0656A49D" w14:textId="77777777" w:rsidR="00E847E4" w:rsidRDefault="00000000">
      <w:pPr>
        <w:pStyle w:val="Heading1"/>
      </w:pPr>
      <w:r>
        <w:t>Part B. Measurement to Governance Mapping</w:t>
      </w:r>
    </w:p>
    <w:p w14:paraId="44F5DAB9" w14:textId="4F3280A1" w:rsidR="00E847E4" w:rsidRDefault="00000000">
      <w:pPr>
        <w:spacing w:after="200"/>
      </w:pPr>
      <w:r>
        <w:t>Table 1 maps common risk types in Lecture 04 to operational metrics and governance implications.</w:t>
      </w:r>
    </w:p>
    <w:tbl>
      <w:tblPr>
        <w:tblStyle w:val="TableGrid"/>
        <w:tblW w:w="0" w:type="auto"/>
        <w:jc w:val="center"/>
        <w:tblLayout w:type="fixed"/>
        <w:tblLook w:val="04A0" w:firstRow="1" w:lastRow="0" w:firstColumn="1" w:lastColumn="0" w:noHBand="0" w:noVBand="1"/>
      </w:tblPr>
      <w:tblGrid>
        <w:gridCol w:w="1584"/>
        <w:gridCol w:w="2016"/>
        <w:gridCol w:w="2016"/>
        <w:gridCol w:w="2016"/>
        <w:gridCol w:w="2160"/>
      </w:tblGrid>
      <w:tr w:rsidR="00E847E4" w14:paraId="2BE3FC37" w14:textId="77777777">
        <w:trPr>
          <w:tblHeader/>
          <w:jc w:val="center"/>
        </w:trPr>
        <w:tc>
          <w:tcPr>
            <w:tcW w:w="1584" w:type="dxa"/>
            <w:shd w:val="clear" w:color="auto" w:fill="2F5597"/>
            <w:tcMar>
              <w:top w:w="90" w:type="dxa"/>
              <w:left w:w="70" w:type="dxa"/>
              <w:bottom w:w="90" w:type="dxa"/>
              <w:right w:w="70" w:type="dxa"/>
            </w:tcMar>
            <w:vAlign w:val="center"/>
          </w:tcPr>
          <w:p w14:paraId="26D4D42F" w14:textId="77777777" w:rsidR="00E847E4" w:rsidRDefault="00000000">
            <w:pPr>
              <w:jc w:val="center"/>
            </w:pPr>
            <w:r>
              <w:rPr>
                <w:b/>
                <w:color w:val="FFFFFF"/>
                <w:sz w:val="20"/>
              </w:rPr>
              <w:t>Risk type</w:t>
            </w:r>
          </w:p>
        </w:tc>
        <w:tc>
          <w:tcPr>
            <w:tcW w:w="2016" w:type="dxa"/>
            <w:shd w:val="clear" w:color="auto" w:fill="2F5597"/>
            <w:tcMar>
              <w:top w:w="90" w:type="dxa"/>
              <w:left w:w="70" w:type="dxa"/>
              <w:bottom w:w="90" w:type="dxa"/>
              <w:right w:w="70" w:type="dxa"/>
            </w:tcMar>
            <w:vAlign w:val="center"/>
          </w:tcPr>
          <w:p w14:paraId="4DDCD4E8" w14:textId="77777777" w:rsidR="00E847E4" w:rsidRDefault="00000000">
            <w:pPr>
              <w:jc w:val="center"/>
            </w:pPr>
            <w:r>
              <w:rPr>
                <w:b/>
                <w:color w:val="FFFFFF"/>
                <w:sz w:val="20"/>
              </w:rPr>
              <w:t>Metric</w:t>
            </w:r>
          </w:p>
        </w:tc>
        <w:tc>
          <w:tcPr>
            <w:tcW w:w="2016" w:type="dxa"/>
            <w:shd w:val="clear" w:color="auto" w:fill="2F5597"/>
            <w:tcMar>
              <w:top w:w="90" w:type="dxa"/>
              <w:left w:w="70" w:type="dxa"/>
              <w:bottom w:w="90" w:type="dxa"/>
              <w:right w:w="70" w:type="dxa"/>
            </w:tcMar>
            <w:vAlign w:val="center"/>
          </w:tcPr>
          <w:p w14:paraId="2BE0AD36" w14:textId="77777777" w:rsidR="00E847E4" w:rsidRDefault="00000000">
            <w:pPr>
              <w:jc w:val="center"/>
            </w:pPr>
            <w:r>
              <w:rPr>
                <w:b/>
                <w:color w:val="FFFFFF"/>
                <w:sz w:val="20"/>
              </w:rPr>
              <w:t>What it detects</w:t>
            </w:r>
          </w:p>
        </w:tc>
        <w:tc>
          <w:tcPr>
            <w:tcW w:w="2016" w:type="dxa"/>
            <w:shd w:val="clear" w:color="auto" w:fill="2F5597"/>
            <w:tcMar>
              <w:top w:w="90" w:type="dxa"/>
              <w:left w:w="70" w:type="dxa"/>
              <w:bottom w:w="90" w:type="dxa"/>
              <w:right w:w="70" w:type="dxa"/>
            </w:tcMar>
            <w:vAlign w:val="center"/>
          </w:tcPr>
          <w:p w14:paraId="6561BDCB" w14:textId="77777777" w:rsidR="00E847E4" w:rsidRDefault="00000000">
            <w:pPr>
              <w:jc w:val="center"/>
            </w:pPr>
            <w:r>
              <w:rPr>
                <w:b/>
                <w:color w:val="FFFFFF"/>
                <w:sz w:val="20"/>
              </w:rPr>
              <w:t>Failure mode</w:t>
            </w:r>
          </w:p>
        </w:tc>
        <w:tc>
          <w:tcPr>
            <w:tcW w:w="2160" w:type="dxa"/>
            <w:shd w:val="clear" w:color="auto" w:fill="2F5597"/>
            <w:tcMar>
              <w:top w:w="90" w:type="dxa"/>
              <w:left w:w="70" w:type="dxa"/>
              <w:bottom w:w="90" w:type="dxa"/>
              <w:right w:w="70" w:type="dxa"/>
            </w:tcMar>
            <w:vAlign w:val="center"/>
          </w:tcPr>
          <w:p w14:paraId="71BAF207" w14:textId="77777777" w:rsidR="00E847E4" w:rsidRDefault="00000000">
            <w:pPr>
              <w:jc w:val="center"/>
            </w:pPr>
            <w:r>
              <w:rPr>
                <w:b/>
                <w:color w:val="FFFFFF"/>
                <w:sz w:val="20"/>
              </w:rPr>
              <w:t>Policy implication</w:t>
            </w:r>
          </w:p>
        </w:tc>
      </w:tr>
      <w:tr w:rsidR="00E847E4" w14:paraId="2BB71C2D" w14:textId="77777777">
        <w:trPr>
          <w:jc w:val="center"/>
        </w:trPr>
        <w:tc>
          <w:tcPr>
            <w:tcW w:w="1584" w:type="dxa"/>
            <w:shd w:val="clear" w:color="auto" w:fill="EAF2F8"/>
            <w:tcMar>
              <w:top w:w="75" w:type="dxa"/>
              <w:left w:w="80" w:type="dxa"/>
              <w:bottom w:w="75" w:type="dxa"/>
              <w:right w:w="80" w:type="dxa"/>
            </w:tcMar>
            <w:vAlign w:val="center"/>
          </w:tcPr>
          <w:p w14:paraId="644FA59E" w14:textId="77777777" w:rsidR="00E847E4" w:rsidRDefault="00000000">
            <w:pPr>
              <w:jc w:val="center"/>
            </w:pPr>
            <w:r>
              <w:rPr>
                <w:sz w:val="18"/>
              </w:rPr>
              <w:t>Covariate shift</w:t>
            </w:r>
          </w:p>
        </w:tc>
        <w:tc>
          <w:tcPr>
            <w:tcW w:w="2016" w:type="dxa"/>
            <w:tcMar>
              <w:top w:w="75" w:type="dxa"/>
              <w:left w:w="80" w:type="dxa"/>
              <w:bottom w:w="75" w:type="dxa"/>
              <w:right w:w="80" w:type="dxa"/>
            </w:tcMar>
            <w:vAlign w:val="center"/>
          </w:tcPr>
          <w:p w14:paraId="5E917DDB" w14:textId="77777777" w:rsidR="00E847E4" w:rsidRDefault="00000000">
            <w:r>
              <w:rPr>
                <w:sz w:val="18"/>
              </w:rPr>
              <w:t>PSI, KS test, MMD</w:t>
            </w:r>
          </w:p>
        </w:tc>
        <w:tc>
          <w:tcPr>
            <w:tcW w:w="2016" w:type="dxa"/>
            <w:tcMar>
              <w:top w:w="75" w:type="dxa"/>
              <w:left w:w="80" w:type="dxa"/>
              <w:bottom w:w="75" w:type="dxa"/>
              <w:right w:w="80" w:type="dxa"/>
            </w:tcMar>
            <w:vAlign w:val="center"/>
          </w:tcPr>
          <w:p w14:paraId="0E962423" w14:textId="77777777" w:rsidR="00E847E4" w:rsidRDefault="00000000">
            <w:r>
              <w:rPr>
                <w:sz w:val="18"/>
              </w:rPr>
              <w:t>Change in input distribution P(X) between development and deployment</w:t>
            </w:r>
          </w:p>
        </w:tc>
        <w:tc>
          <w:tcPr>
            <w:tcW w:w="2016" w:type="dxa"/>
            <w:tcMar>
              <w:top w:w="75" w:type="dxa"/>
              <w:left w:w="80" w:type="dxa"/>
              <w:bottom w:w="75" w:type="dxa"/>
              <w:right w:w="80" w:type="dxa"/>
            </w:tcMar>
            <w:vAlign w:val="center"/>
          </w:tcPr>
          <w:p w14:paraId="30F50392" w14:textId="77777777" w:rsidR="00E847E4" w:rsidRDefault="00000000">
            <w:r>
              <w:rPr>
                <w:sz w:val="18"/>
              </w:rPr>
              <w:t>Model sees a different case mix than the one used for training</w:t>
            </w:r>
          </w:p>
        </w:tc>
        <w:tc>
          <w:tcPr>
            <w:tcW w:w="2160" w:type="dxa"/>
            <w:tcMar>
              <w:top w:w="75" w:type="dxa"/>
              <w:left w:w="80" w:type="dxa"/>
              <w:bottom w:w="75" w:type="dxa"/>
              <w:right w:w="80" w:type="dxa"/>
            </w:tcMar>
            <w:vAlign w:val="center"/>
          </w:tcPr>
          <w:p w14:paraId="4296BC00" w14:textId="77777777" w:rsidR="00E847E4" w:rsidRDefault="00000000">
            <w:r>
              <w:rPr>
                <w:sz w:val="18"/>
              </w:rPr>
              <w:t>Increase monitoring; if change is material, reweight data, recalibrate, or retrain</w:t>
            </w:r>
          </w:p>
        </w:tc>
      </w:tr>
      <w:tr w:rsidR="00E847E4" w14:paraId="36B29664" w14:textId="77777777">
        <w:trPr>
          <w:jc w:val="center"/>
        </w:trPr>
        <w:tc>
          <w:tcPr>
            <w:tcW w:w="1584" w:type="dxa"/>
            <w:shd w:val="clear" w:color="auto" w:fill="EAF2F8"/>
            <w:tcMar>
              <w:top w:w="75" w:type="dxa"/>
              <w:left w:w="80" w:type="dxa"/>
              <w:bottom w:w="75" w:type="dxa"/>
              <w:right w:w="80" w:type="dxa"/>
            </w:tcMar>
            <w:vAlign w:val="center"/>
          </w:tcPr>
          <w:p w14:paraId="2AC0AB76" w14:textId="77777777" w:rsidR="00E847E4" w:rsidRDefault="00000000">
            <w:pPr>
              <w:jc w:val="center"/>
            </w:pPr>
            <w:r>
              <w:rPr>
                <w:sz w:val="18"/>
              </w:rPr>
              <w:t>Label / prior shift</w:t>
            </w:r>
          </w:p>
        </w:tc>
        <w:tc>
          <w:tcPr>
            <w:tcW w:w="2016" w:type="dxa"/>
            <w:tcMar>
              <w:top w:w="75" w:type="dxa"/>
              <w:left w:w="80" w:type="dxa"/>
              <w:bottom w:w="75" w:type="dxa"/>
              <w:right w:w="80" w:type="dxa"/>
            </w:tcMar>
            <w:vAlign w:val="center"/>
          </w:tcPr>
          <w:p w14:paraId="3C7EA1CA" w14:textId="77777777" w:rsidR="00E847E4" w:rsidRDefault="00000000">
            <w:r>
              <w:rPr>
                <w:sz w:val="18"/>
              </w:rPr>
              <w:t>Outcome prevalence tracking, score-bin comparison, chi-square on score bins</w:t>
            </w:r>
          </w:p>
        </w:tc>
        <w:tc>
          <w:tcPr>
            <w:tcW w:w="2016" w:type="dxa"/>
            <w:tcMar>
              <w:top w:w="75" w:type="dxa"/>
              <w:left w:w="80" w:type="dxa"/>
              <w:bottom w:w="75" w:type="dxa"/>
              <w:right w:w="80" w:type="dxa"/>
            </w:tcMar>
            <w:vAlign w:val="center"/>
          </w:tcPr>
          <w:p w14:paraId="611186A4" w14:textId="77777777" w:rsidR="00E847E4" w:rsidRDefault="00000000">
            <w:r>
              <w:rPr>
                <w:sz w:val="18"/>
              </w:rPr>
              <w:t>Change in class balance P(Y)</w:t>
            </w:r>
          </w:p>
        </w:tc>
        <w:tc>
          <w:tcPr>
            <w:tcW w:w="2016" w:type="dxa"/>
            <w:tcMar>
              <w:top w:w="75" w:type="dxa"/>
              <w:left w:w="80" w:type="dxa"/>
              <w:bottom w:w="75" w:type="dxa"/>
              <w:right w:w="80" w:type="dxa"/>
            </w:tcMar>
            <w:vAlign w:val="center"/>
          </w:tcPr>
          <w:p w14:paraId="78672D9F" w14:textId="77777777" w:rsidR="00E847E4" w:rsidRDefault="00000000">
            <w:r>
              <w:rPr>
                <w:sz w:val="18"/>
              </w:rPr>
              <w:t>Thresholds and expected volumes no longer match operating conditions</w:t>
            </w:r>
          </w:p>
        </w:tc>
        <w:tc>
          <w:tcPr>
            <w:tcW w:w="2160" w:type="dxa"/>
            <w:tcMar>
              <w:top w:w="75" w:type="dxa"/>
              <w:left w:w="80" w:type="dxa"/>
              <w:bottom w:w="75" w:type="dxa"/>
              <w:right w:w="80" w:type="dxa"/>
            </w:tcMar>
            <w:vAlign w:val="center"/>
          </w:tcPr>
          <w:p w14:paraId="294E2A1E" w14:textId="77777777" w:rsidR="00E847E4" w:rsidRDefault="00000000">
            <w:r>
              <w:rPr>
                <w:sz w:val="18"/>
              </w:rPr>
              <w:t>Review thresholds, staffing capacity, and decision policy; recalibrate where appropriate</w:t>
            </w:r>
          </w:p>
        </w:tc>
      </w:tr>
      <w:tr w:rsidR="00E847E4" w14:paraId="41C77BF2" w14:textId="77777777">
        <w:trPr>
          <w:jc w:val="center"/>
        </w:trPr>
        <w:tc>
          <w:tcPr>
            <w:tcW w:w="1584" w:type="dxa"/>
            <w:shd w:val="clear" w:color="auto" w:fill="EAF2F8"/>
            <w:tcMar>
              <w:top w:w="75" w:type="dxa"/>
              <w:left w:w="80" w:type="dxa"/>
              <w:bottom w:w="75" w:type="dxa"/>
              <w:right w:w="80" w:type="dxa"/>
            </w:tcMar>
            <w:vAlign w:val="center"/>
          </w:tcPr>
          <w:p w14:paraId="7C405DD4" w14:textId="77777777" w:rsidR="00E847E4" w:rsidRDefault="00000000">
            <w:pPr>
              <w:jc w:val="center"/>
            </w:pPr>
            <w:r>
              <w:rPr>
                <w:sz w:val="18"/>
              </w:rPr>
              <w:t>Concept drift</w:t>
            </w:r>
          </w:p>
        </w:tc>
        <w:tc>
          <w:tcPr>
            <w:tcW w:w="2016" w:type="dxa"/>
            <w:tcMar>
              <w:top w:w="75" w:type="dxa"/>
              <w:left w:w="80" w:type="dxa"/>
              <w:bottom w:w="75" w:type="dxa"/>
              <w:right w:w="80" w:type="dxa"/>
            </w:tcMar>
            <w:vAlign w:val="center"/>
          </w:tcPr>
          <w:p w14:paraId="4C5C969C" w14:textId="77777777" w:rsidR="00E847E4" w:rsidRDefault="00000000">
            <w:r>
              <w:rPr>
                <w:sz w:val="18"/>
              </w:rPr>
              <w:t>Rolling AUC/F1/calibration, Page-Hinkley, ADWIN</w:t>
            </w:r>
          </w:p>
        </w:tc>
        <w:tc>
          <w:tcPr>
            <w:tcW w:w="2016" w:type="dxa"/>
            <w:tcMar>
              <w:top w:w="75" w:type="dxa"/>
              <w:left w:w="80" w:type="dxa"/>
              <w:bottom w:w="75" w:type="dxa"/>
              <w:right w:w="80" w:type="dxa"/>
            </w:tcMar>
            <w:vAlign w:val="center"/>
          </w:tcPr>
          <w:p w14:paraId="170ABD9C" w14:textId="77777777" w:rsidR="00E847E4" w:rsidRDefault="00000000">
            <w:r>
              <w:rPr>
                <w:sz w:val="18"/>
              </w:rPr>
              <w:t>Change in the relationship P(Y|X)</w:t>
            </w:r>
          </w:p>
        </w:tc>
        <w:tc>
          <w:tcPr>
            <w:tcW w:w="2016" w:type="dxa"/>
            <w:tcMar>
              <w:top w:w="75" w:type="dxa"/>
              <w:left w:w="80" w:type="dxa"/>
              <w:bottom w:w="75" w:type="dxa"/>
              <w:right w:w="80" w:type="dxa"/>
            </w:tcMar>
            <w:vAlign w:val="center"/>
          </w:tcPr>
          <w:p w14:paraId="1218C278" w14:textId="77777777" w:rsidR="00E847E4" w:rsidRDefault="00000000">
            <w:r>
              <w:rPr>
                <w:sz w:val="18"/>
              </w:rPr>
              <w:t>The model's learned logic becomes stale even if inputs look familiar</w:t>
            </w:r>
          </w:p>
        </w:tc>
        <w:tc>
          <w:tcPr>
            <w:tcW w:w="2160" w:type="dxa"/>
            <w:tcMar>
              <w:top w:w="75" w:type="dxa"/>
              <w:left w:w="80" w:type="dxa"/>
              <w:bottom w:w="75" w:type="dxa"/>
              <w:right w:w="80" w:type="dxa"/>
            </w:tcMar>
            <w:vAlign w:val="center"/>
          </w:tcPr>
          <w:p w14:paraId="5AE9434B" w14:textId="77777777" w:rsidR="00E847E4" w:rsidRDefault="00000000">
            <w:r>
              <w:rPr>
                <w:sz w:val="18"/>
              </w:rPr>
              <w:t>Prioritize retraining or redesign; escalate because this affects core model validity</w:t>
            </w:r>
          </w:p>
        </w:tc>
      </w:tr>
      <w:tr w:rsidR="00E847E4" w14:paraId="3B71EEDC" w14:textId="77777777">
        <w:trPr>
          <w:jc w:val="center"/>
        </w:trPr>
        <w:tc>
          <w:tcPr>
            <w:tcW w:w="1584" w:type="dxa"/>
            <w:shd w:val="clear" w:color="auto" w:fill="EAF2F8"/>
            <w:tcMar>
              <w:top w:w="75" w:type="dxa"/>
              <w:left w:w="80" w:type="dxa"/>
              <w:bottom w:w="75" w:type="dxa"/>
              <w:right w:w="80" w:type="dxa"/>
            </w:tcMar>
            <w:vAlign w:val="center"/>
          </w:tcPr>
          <w:p w14:paraId="1CEADBBE" w14:textId="77777777" w:rsidR="00E847E4" w:rsidRDefault="00000000">
            <w:pPr>
              <w:jc w:val="center"/>
            </w:pPr>
            <w:r>
              <w:rPr>
                <w:sz w:val="18"/>
              </w:rPr>
              <w:t>Generalization failure / overfitting</w:t>
            </w:r>
          </w:p>
        </w:tc>
        <w:tc>
          <w:tcPr>
            <w:tcW w:w="2016" w:type="dxa"/>
            <w:tcMar>
              <w:top w:w="75" w:type="dxa"/>
              <w:left w:w="80" w:type="dxa"/>
              <w:bottom w:w="75" w:type="dxa"/>
              <w:right w:w="80" w:type="dxa"/>
            </w:tcMar>
            <w:vAlign w:val="center"/>
          </w:tcPr>
          <w:p w14:paraId="78FCBFEB" w14:textId="77777777" w:rsidR="00E847E4" w:rsidRDefault="00000000">
            <w:r>
              <w:rPr>
                <w:sz w:val="18"/>
              </w:rPr>
              <w:t>Train-test gap in AUC, accuracy, log loss</w:t>
            </w:r>
          </w:p>
        </w:tc>
        <w:tc>
          <w:tcPr>
            <w:tcW w:w="2016" w:type="dxa"/>
            <w:tcMar>
              <w:top w:w="75" w:type="dxa"/>
              <w:left w:w="80" w:type="dxa"/>
              <w:bottom w:w="75" w:type="dxa"/>
              <w:right w:w="80" w:type="dxa"/>
            </w:tcMar>
            <w:vAlign w:val="center"/>
          </w:tcPr>
          <w:p w14:paraId="135B878B" w14:textId="77777777" w:rsidR="00E847E4" w:rsidRDefault="00000000">
            <w:r>
              <w:rPr>
                <w:sz w:val="18"/>
              </w:rPr>
              <w:t>Difference between development performance and out-of-sample performance</w:t>
            </w:r>
          </w:p>
        </w:tc>
        <w:tc>
          <w:tcPr>
            <w:tcW w:w="2016" w:type="dxa"/>
            <w:tcMar>
              <w:top w:w="75" w:type="dxa"/>
              <w:left w:w="80" w:type="dxa"/>
              <w:bottom w:w="75" w:type="dxa"/>
              <w:right w:w="80" w:type="dxa"/>
            </w:tcMar>
            <w:vAlign w:val="center"/>
          </w:tcPr>
          <w:p w14:paraId="396BAC00" w14:textId="77777777" w:rsidR="00E847E4" w:rsidRDefault="00000000">
            <w:r>
              <w:rPr>
                <w:sz w:val="18"/>
              </w:rPr>
              <w:t>Model memorized sample-specific structure and cannot be trusted in production</w:t>
            </w:r>
          </w:p>
        </w:tc>
        <w:tc>
          <w:tcPr>
            <w:tcW w:w="2160" w:type="dxa"/>
            <w:tcMar>
              <w:top w:w="75" w:type="dxa"/>
              <w:left w:w="80" w:type="dxa"/>
              <w:bottom w:w="75" w:type="dxa"/>
              <w:right w:w="80" w:type="dxa"/>
            </w:tcMar>
            <w:vAlign w:val="center"/>
          </w:tcPr>
          <w:p w14:paraId="72B240EE" w14:textId="77777777" w:rsidR="00E847E4" w:rsidRDefault="00000000">
            <w:r>
              <w:rPr>
                <w:sz w:val="18"/>
              </w:rPr>
              <w:t>Tighten model complexity, improve validation design, and reduce deployment confidence until corrected</w:t>
            </w:r>
          </w:p>
        </w:tc>
      </w:tr>
      <w:tr w:rsidR="00E847E4" w14:paraId="1FDF5E68" w14:textId="77777777">
        <w:trPr>
          <w:jc w:val="center"/>
        </w:trPr>
        <w:tc>
          <w:tcPr>
            <w:tcW w:w="1584" w:type="dxa"/>
            <w:shd w:val="clear" w:color="auto" w:fill="EAF2F8"/>
            <w:tcMar>
              <w:top w:w="75" w:type="dxa"/>
              <w:left w:w="80" w:type="dxa"/>
              <w:bottom w:w="75" w:type="dxa"/>
              <w:right w:w="80" w:type="dxa"/>
            </w:tcMar>
            <w:vAlign w:val="center"/>
          </w:tcPr>
          <w:p w14:paraId="1CE54644" w14:textId="77777777" w:rsidR="00E847E4" w:rsidRDefault="00000000">
            <w:pPr>
              <w:jc w:val="center"/>
            </w:pPr>
            <w:r>
              <w:rPr>
                <w:sz w:val="18"/>
              </w:rPr>
              <w:t>Spurious correlation / shortcut learning</w:t>
            </w:r>
          </w:p>
        </w:tc>
        <w:tc>
          <w:tcPr>
            <w:tcW w:w="2016" w:type="dxa"/>
            <w:tcMar>
              <w:top w:w="75" w:type="dxa"/>
              <w:left w:w="80" w:type="dxa"/>
              <w:bottom w:w="75" w:type="dxa"/>
              <w:right w:w="80" w:type="dxa"/>
            </w:tcMar>
            <w:vAlign w:val="center"/>
          </w:tcPr>
          <w:p w14:paraId="22C5581A" w14:textId="77777777" w:rsidR="00E847E4" w:rsidRDefault="00000000">
            <w:r>
              <w:rPr>
                <w:sz w:val="18"/>
              </w:rPr>
              <w:t>Permutation importance, counterfactual swaps, SHAP review, ICE and sensitivity index</w:t>
            </w:r>
          </w:p>
        </w:tc>
        <w:tc>
          <w:tcPr>
            <w:tcW w:w="2016" w:type="dxa"/>
            <w:tcMar>
              <w:top w:w="75" w:type="dxa"/>
              <w:left w:w="80" w:type="dxa"/>
              <w:bottom w:w="75" w:type="dxa"/>
              <w:right w:w="80" w:type="dxa"/>
            </w:tcMar>
            <w:vAlign w:val="center"/>
          </w:tcPr>
          <w:p w14:paraId="07D1962B" w14:textId="77777777" w:rsidR="00E847E4" w:rsidRDefault="00000000">
            <w:r>
              <w:rPr>
                <w:sz w:val="18"/>
              </w:rPr>
              <w:t>Whether the model relies on unstable or weakly justified features</w:t>
            </w:r>
          </w:p>
        </w:tc>
        <w:tc>
          <w:tcPr>
            <w:tcW w:w="2016" w:type="dxa"/>
            <w:tcMar>
              <w:top w:w="75" w:type="dxa"/>
              <w:left w:w="80" w:type="dxa"/>
              <w:bottom w:w="75" w:type="dxa"/>
              <w:right w:w="80" w:type="dxa"/>
            </w:tcMar>
            <w:vAlign w:val="center"/>
          </w:tcPr>
          <w:p w14:paraId="0E7AB65B" w14:textId="77777777" w:rsidR="00E847E4" w:rsidRDefault="00000000">
            <w:r>
              <w:rPr>
                <w:sz w:val="18"/>
              </w:rPr>
              <w:t>Correct predictions may come from the wrong mechanism</w:t>
            </w:r>
          </w:p>
        </w:tc>
        <w:tc>
          <w:tcPr>
            <w:tcW w:w="2160" w:type="dxa"/>
            <w:tcMar>
              <w:top w:w="75" w:type="dxa"/>
              <w:left w:w="80" w:type="dxa"/>
              <w:bottom w:w="75" w:type="dxa"/>
              <w:right w:w="80" w:type="dxa"/>
            </w:tcMar>
            <w:vAlign w:val="center"/>
          </w:tcPr>
          <w:p w14:paraId="14B28685" w14:textId="77777777" w:rsidR="00E847E4" w:rsidRDefault="00000000">
            <w:r>
              <w:rPr>
                <w:sz w:val="18"/>
              </w:rPr>
              <w:t>Challenge feature set with domain experts; remove or constrain unjustified signals; document rationale</w:t>
            </w:r>
          </w:p>
        </w:tc>
      </w:tr>
      <w:tr w:rsidR="00E847E4" w14:paraId="32BC2144" w14:textId="77777777">
        <w:trPr>
          <w:jc w:val="center"/>
        </w:trPr>
        <w:tc>
          <w:tcPr>
            <w:tcW w:w="1584" w:type="dxa"/>
            <w:shd w:val="clear" w:color="auto" w:fill="EAF2F8"/>
            <w:tcMar>
              <w:top w:w="75" w:type="dxa"/>
              <w:left w:w="80" w:type="dxa"/>
              <w:bottom w:w="75" w:type="dxa"/>
              <w:right w:w="80" w:type="dxa"/>
            </w:tcMar>
            <w:vAlign w:val="center"/>
          </w:tcPr>
          <w:p w14:paraId="57357733" w14:textId="77777777" w:rsidR="00E847E4" w:rsidRDefault="00000000">
            <w:pPr>
              <w:jc w:val="center"/>
            </w:pPr>
            <w:r>
              <w:rPr>
                <w:sz w:val="18"/>
              </w:rPr>
              <w:t>Subgroup disparity</w:t>
            </w:r>
          </w:p>
        </w:tc>
        <w:tc>
          <w:tcPr>
            <w:tcW w:w="2016" w:type="dxa"/>
            <w:tcMar>
              <w:top w:w="75" w:type="dxa"/>
              <w:left w:w="80" w:type="dxa"/>
              <w:bottom w:w="75" w:type="dxa"/>
              <w:right w:w="80" w:type="dxa"/>
            </w:tcMar>
            <w:vAlign w:val="center"/>
          </w:tcPr>
          <w:p w14:paraId="392ABAF1" w14:textId="77777777" w:rsidR="00E847E4" w:rsidRDefault="00000000">
            <w:r>
              <w:rPr>
                <w:sz w:val="18"/>
              </w:rPr>
              <w:t>Slice AUC, FPR, FNR, AIR, ME, SMD</w:t>
            </w:r>
          </w:p>
        </w:tc>
        <w:tc>
          <w:tcPr>
            <w:tcW w:w="2016" w:type="dxa"/>
            <w:tcMar>
              <w:top w:w="75" w:type="dxa"/>
              <w:left w:w="80" w:type="dxa"/>
              <w:bottom w:w="75" w:type="dxa"/>
              <w:right w:w="80" w:type="dxa"/>
            </w:tcMar>
            <w:vAlign w:val="center"/>
          </w:tcPr>
          <w:p w14:paraId="37527A1B" w14:textId="77777777" w:rsidR="00E847E4" w:rsidRDefault="00000000">
            <w:r>
              <w:rPr>
                <w:sz w:val="18"/>
              </w:rPr>
              <w:t>Whether harms are concentrated in protected or operational subgroups</w:t>
            </w:r>
          </w:p>
        </w:tc>
        <w:tc>
          <w:tcPr>
            <w:tcW w:w="2016" w:type="dxa"/>
            <w:tcMar>
              <w:top w:w="75" w:type="dxa"/>
              <w:left w:w="80" w:type="dxa"/>
              <w:bottom w:w="75" w:type="dxa"/>
              <w:right w:w="80" w:type="dxa"/>
            </w:tcMar>
            <w:vAlign w:val="center"/>
          </w:tcPr>
          <w:p w14:paraId="72232D61" w14:textId="77777777" w:rsidR="00E847E4" w:rsidRDefault="00000000">
            <w:r>
              <w:rPr>
                <w:sz w:val="18"/>
              </w:rPr>
              <w:t>Aggregate performance hides unequal error exposure</w:t>
            </w:r>
          </w:p>
        </w:tc>
        <w:tc>
          <w:tcPr>
            <w:tcW w:w="2160" w:type="dxa"/>
            <w:tcMar>
              <w:top w:w="75" w:type="dxa"/>
              <w:left w:w="80" w:type="dxa"/>
              <w:bottom w:w="75" w:type="dxa"/>
              <w:right w:w="80" w:type="dxa"/>
            </w:tcMar>
            <w:vAlign w:val="center"/>
          </w:tcPr>
          <w:p w14:paraId="4A90DEB2" w14:textId="77777777" w:rsidR="00E847E4" w:rsidRDefault="00000000">
            <w:r>
              <w:rPr>
                <w:sz w:val="18"/>
              </w:rPr>
              <w:t>Trigger fairness review, burden-shifting analysis, and testing of less discriminatory alternatives</w:t>
            </w:r>
          </w:p>
        </w:tc>
      </w:tr>
      <w:tr w:rsidR="00E847E4" w14:paraId="5484E9E0" w14:textId="77777777">
        <w:trPr>
          <w:jc w:val="center"/>
        </w:trPr>
        <w:tc>
          <w:tcPr>
            <w:tcW w:w="1584" w:type="dxa"/>
            <w:shd w:val="clear" w:color="auto" w:fill="EAF2F8"/>
            <w:tcMar>
              <w:top w:w="75" w:type="dxa"/>
              <w:left w:w="80" w:type="dxa"/>
              <w:bottom w:w="75" w:type="dxa"/>
              <w:right w:w="80" w:type="dxa"/>
            </w:tcMar>
            <w:vAlign w:val="center"/>
          </w:tcPr>
          <w:p w14:paraId="7654F5EE" w14:textId="77777777" w:rsidR="00E847E4" w:rsidRDefault="00000000">
            <w:pPr>
              <w:jc w:val="center"/>
            </w:pPr>
            <w:r>
              <w:rPr>
                <w:sz w:val="18"/>
              </w:rPr>
              <w:t>Robustness failure</w:t>
            </w:r>
          </w:p>
        </w:tc>
        <w:tc>
          <w:tcPr>
            <w:tcW w:w="2016" w:type="dxa"/>
            <w:tcMar>
              <w:top w:w="75" w:type="dxa"/>
              <w:left w:w="80" w:type="dxa"/>
              <w:bottom w:w="75" w:type="dxa"/>
              <w:right w:w="80" w:type="dxa"/>
            </w:tcMar>
            <w:vAlign w:val="center"/>
          </w:tcPr>
          <w:p w14:paraId="346BAF90" w14:textId="77777777" w:rsidR="00E847E4" w:rsidRDefault="00000000">
            <w:r>
              <w:rPr>
                <w:sz w:val="18"/>
              </w:rPr>
              <w:t>Scenario stress tests, worst-slice performance, ICE curves, sensitivity summaries</w:t>
            </w:r>
          </w:p>
        </w:tc>
        <w:tc>
          <w:tcPr>
            <w:tcW w:w="2016" w:type="dxa"/>
            <w:tcMar>
              <w:top w:w="75" w:type="dxa"/>
              <w:left w:w="80" w:type="dxa"/>
              <w:bottom w:w="75" w:type="dxa"/>
              <w:right w:w="80" w:type="dxa"/>
            </w:tcMar>
            <w:vAlign w:val="center"/>
          </w:tcPr>
          <w:p w14:paraId="223AE3C8" w14:textId="77777777" w:rsidR="00E847E4" w:rsidRDefault="00000000">
            <w:r>
              <w:rPr>
                <w:sz w:val="18"/>
              </w:rPr>
              <w:t>Whether the model degrades gracefully under realistic perturbation</w:t>
            </w:r>
          </w:p>
        </w:tc>
        <w:tc>
          <w:tcPr>
            <w:tcW w:w="2016" w:type="dxa"/>
            <w:tcMar>
              <w:top w:w="75" w:type="dxa"/>
              <w:left w:w="80" w:type="dxa"/>
              <w:bottom w:w="75" w:type="dxa"/>
              <w:right w:w="80" w:type="dxa"/>
            </w:tcMar>
            <w:vAlign w:val="center"/>
          </w:tcPr>
          <w:p w14:paraId="48413989" w14:textId="77777777" w:rsidR="00E847E4" w:rsidRDefault="00000000">
            <w:r>
              <w:rPr>
                <w:sz w:val="18"/>
              </w:rPr>
              <w:t>System collapses under stress, rare conditions, or deployment boundaries</w:t>
            </w:r>
          </w:p>
        </w:tc>
        <w:tc>
          <w:tcPr>
            <w:tcW w:w="2160" w:type="dxa"/>
            <w:tcMar>
              <w:top w:w="75" w:type="dxa"/>
              <w:left w:w="80" w:type="dxa"/>
              <w:bottom w:w="75" w:type="dxa"/>
              <w:right w:w="80" w:type="dxa"/>
            </w:tcMar>
            <w:vAlign w:val="center"/>
          </w:tcPr>
          <w:p w14:paraId="09491A5C" w14:textId="77777777" w:rsidR="00E847E4" w:rsidRDefault="00000000">
            <w:r>
              <w:rPr>
                <w:sz w:val="18"/>
              </w:rPr>
              <w:t>Create stress scenarios, define action thresholds, and add controls before scaling use</w:t>
            </w:r>
          </w:p>
        </w:tc>
      </w:tr>
      <w:tr w:rsidR="00E847E4" w14:paraId="1DF8F25C" w14:textId="77777777">
        <w:trPr>
          <w:jc w:val="center"/>
        </w:trPr>
        <w:tc>
          <w:tcPr>
            <w:tcW w:w="1584" w:type="dxa"/>
            <w:shd w:val="clear" w:color="auto" w:fill="EAF2F8"/>
            <w:tcMar>
              <w:top w:w="75" w:type="dxa"/>
              <w:left w:w="80" w:type="dxa"/>
              <w:bottom w:w="75" w:type="dxa"/>
              <w:right w:w="80" w:type="dxa"/>
            </w:tcMar>
            <w:vAlign w:val="center"/>
          </w:tcPr>
          <w:p w14:paraId="0A0D27E5" w14:textId="77777777" w:rsidR="00E847E4" w:rsidRDefault="00000000">
            <w:pPr>
              <w:jc w:val="center"/>
            </w:pPr>
            <w:r>
              <w:rPr>
                <w:sz w:val="18"/>
              </w:rPr>
              <w:t>Monitoring gap</w:t>
            </w:r>
          </w:p>
        </w:tc>
        <w:tc>
          <w:tcPr>
            <w:tcW w:w="2016" w:type="dxa"/>
            <w:tcMar>
              <w:top w:w="75" w:type="dxa"/>
              <w:left w:w="80" w:type="dxa"/>
              <w:bottom w:w="75" w:type="dxa"/>
              <w:right w:w="80" w:type="dxa"/>
            </w:tcMar>
            <w:vAlign w:val="center"/>
          </w:tcPr>
          <w:p w14:paraId="35C036C9" w14:textId="77777777" w:rsidR="00E847E4" w:rsidRDefault="00000000">
            <w:r>
              <w:rPr>
                <w:sz w:val="18"/>
              </w:rPr>
              <w:t>Presence or absence of leading and lagging indicators</w:t>
            </w:r>
          </w:p>
        </w:tc>
        <w:tc>
          <w:tcPr>
            <w:tcW w:w="2016" w:type="dxa"/>
            <w:tcMar>
              <w:top w:w="75" w:type="dxa"/>
              <w:left w:w="80" w:type="dxa"/>
              <w:bottom w:w="75" w:type="dxa"/>
              <w:right w:w="80" w:type="dxa"/>
            </w:tcMar>
            <w:vAlign w:val="center"/>
          </w:tcPr>
          <w:p w14:paraId="2A029882" w14:textId="77777777" w:rsidR="00E847E4" w:rsidRDefault="00000000">
            <w:r>
              <w:rPr>
                <w:sz w:val="18"/>
              </w:rPr>
              <w:t>Whether the institution can detect harm before and after it occurs</w:t>
            </w:r>
          </w:p>
        </w:tc>
        <w:tc>
          <w:tcPr>
            <w:tcW w:w="2016" w:type="dxa"/>
            <w:tcMar>
              <w:top w:w="75" w:type="dxa"/>
              <w:left w:w="80" w:type="dxa"/>
              <w:bottom w:w="75" w:type="dxa"/>
              <w:right w:w="80" w:type="dxa"/>
            </w:tcMar>
            <w:vAlign w:val="center"/>
          </w:tcPr>
          <w:p w14:paraId="40A184C0" w14:textId="77777777" w:rsidR="00E847E4" w:rsidRDefault="00000000">
            <w:r>
              <w:rPr>
                <w:sz w:val="18"/>
              </w:rPr>
              <w:t>Model problems remain invisible until damage accumulates</w:t>
            </w:r>
          </w:p>
        </w:tc>
        <w:tc>
          <w:tcPr>
            <w:tcW w:w="2160" w:type="dxa"/>
            <w:tcMar>
              <w:top w:w="75" w:type="dxa"/>
              <w:left w:w="80" w:type="dxa"/>
              <w:bottom w:w="75" w:type="dxa"/>
              <w:right w:w="80" w:type="dxa"/>
            </w:tcMar>
            <w:vAlign w:val="center"/>
          </w:tcPr>
          <w:p w14:paraId="0F6E8535" w14:textId="77777777" w:rsidR="00E847E4" w:rsidRDefault="00000000">
            <w:r>
              <w:rPr>
                <w:sz w:val="18"/>
              </w:rPr>
              <w:t>Implement a monitoring stack with ownership, review frequency, and escalation triggers</w:t>
            </w:r>
          </w:p>
        </w:tc>
      </w:tr>
    </w:tbl>
    <w:p w14:paraId="72767E6C" w14:textId="48A5165A" w:rsidR="00D8018E" w:rsidRDefault="00D8018E"/>
    <w:p w14:paraId="00574C26" w14:textId="77777777" w:rsidR="00D8018E" w:rsidRDefault="00D8018E">
      <w:pPr>
        <w:spacing w:after="200"/>
      </w:pPr>
      <w:r>
        <w:br w:type="page"/>
      </w:r>
    </w:p>
    <w:p w14:paraId="4D942D92" w14:textId="77777777" w:rsidR="00E847E4" w:rsidRDefault="00E847E4"/>
    <w:p w14:paraId="46DCEE9E" w14:textId="77777777" w:rsidR="00E847E4" w:rsidRDefault="00000000">
      <w:pPr>
        <w:pStyle w:val="Heading1"/>
      </w:pPr>
      <w:r>
        <w:t>Part C. Failure Scenario Analysis</w:t>
      </w:r>
    </w:p>
    <w:p w14:paraId="1D50CFB9" w14:textId="1B98FAE8" w:rsidR="00925B9F" w:rsidRDefault="00925B9F" w:rsidP="00925B9F">
      <w:r>
        <w:t>The framework in this report is illustrated through the class COMPAS pipeline. In that pipeline, an interpretable logistic regression baseline is compared with a higher-capacity gradient-boosted tree and evaluated through drift tests, train-test performance gaps, feature-reliance checks, subgroup slices, and stress-based robustness analysis. This makes the audit logic concrete while keeping the framework applicable to other predictive systems.</w:t>
      </w:r>
    </w:p>
    <w:p w14:paraId="4B8C5745" w14:textId="403DBD6E" w:rsidR="00007C5F" w:rsidRDefault="00925B9F" w:rsidP="00925B9F">
      <w:r>
        <w:t>COMPAS is a useful example of a model that may appear acceptable at the aggregate level while still producing meaningful subgroup error disparities. In the class analysis, the system showed approximate calibration across groups, but also higher false positive rates for Black defendants and higher false negative rates for White defendants. This matters because strong overall performance does not guarantee that errors are distributed in a fair or defensible way across affected groups. In other words, aggregate model quality can conceal concentrated harm</w:t>
      </w:r>
      <w:r w:rsidR="00007C5F">
        <w:t>.</w:t>
      </w:r>
    </w:p>
    <w:p w14:paraId="7816CA03" w14:textId="77777777" w:rsidR="0077429D" w:rsidRDefault="0077429D" w:rsidP="0077429D">
      <w:r>
        <w:t>Why this pattern matters</w:t>
      </w:r>
    </w:p>
    <w:p w14:paraId="1D50CABB" w14:textId="77777777" w:rsidR="0077429D" w:rsidRDefault="0077429D" w:rsidP="0077429D">
      <w:pPr>
        <w:pStyle w:val="ListParagraph"/>
        <w:numPr>
          <w:ilvl w:val="0"/>
          <w:numId w:val="10"/>
        </w:numPr>
      </w:pPr>
      <w:r>
        <w:t>Aggregate metrics are incomplete. Measures such as AUC, accuracy, or average calibration describe how the model performs overall, but they do not show whether one subgroup bears a disproportionate share of harmful errors.</w:t>
      </w:r>
    </w:p>
    <w:p w14:paraId="3F7E224E" w14:textId="77777777" w:rsidR="0077429D" w:rsidRDefault="0077429D" w:rsidP="0077429D">
      <w:pPr>
        <w:pStyle w:val="ListParagraph"/>
        <w:numPr>
          <w:ilvl w:val="0"/>
          <w:numId w:val="10"/>
        </w:numPr>
      </w:pPr>
      <w:r>
        <w:t>Error disparities create real governance risk. In a high-stakes setting, a higher false positive rate for one subgroup means that more individuals from that group may be incorrectly classified in a harmful category. That is not just a technical issue; it is also a fairness, legal, and institutional risk.</w:t>
      </w:r>
    </w:p>
    <w:p w14:paraId="64F6D0EB" w14:textId="77777777" w:rsidR="0077429D" w:rsidRDefault="0077429D" w:rsidP="0077429D">
      <w:pPr>
        <w:pStyle w:val="ListParagraph"/>
        <w:numPr>
          <w:ilvl w:val="0"/>
          <w:numId w:val="10"/>
        </w:numPr>
      </w:pPr>
      <w:r>
        <w:t>Calibration is not enough. The lectures emphasize that approximate calibration can coexist with unequal error rates. This is exactly why a model cannot be defended only by saying that its scores are “predictive on average.”</w:t>
      </w:r>
    </w:p>
    <w:p w14:paraId="7BEF1B5D" w14:textId="6BB9A541" w:rsidR="00007C5F" w:rsidRDefault="0077429D" w:rsidP="0077429D">
      <w:pPr>
        <w:pStyle w:val="ListParagraph"/>
        <w:numPr>
          <w:ilvl w:val="0"/>
          <w:numId w:val="10"/>
        </w:numPr>
      </w:pPr>
      <w:r>
        <w:t>Slice failure is still model failure. Lecture 04 states clearly that failure on a meaningful slice remains a real failure mode even when aggregate performance looks strong.</w:t>
      </w:r>
    </w:p>
    <w:p w14:paraId="060AC8CD" w14:textId="27946694" w:rsidR="0077429D" w:rsidRDefault="0077429D" w:rsidP="0077429D">
      <w:r>
        <w:t>What the audit should establish</w:t>
      </w:r>
    </w:p>
    <w:p w14:paraId="5ADAE1B6" w14:textId="03300A4B" w:rsidR="0077429D" w:rsidRDefault="0077429D" w:rsidP="0077429D">
      <w:r>
        <w:t>A proper audit should move from the average result to subgroup-specific evidence. In this scenario, the main questions are:</w:t>
      </w:r>
    </w:p>
    <w:p w14:paraId="1A11EB92" w14:textId="77777777" w:rsidR="0077429D" w:rsidRDefault="0077429D" w:rsidP="0077429D">
      <w:pPr>
        <w:pStyle w:val="ListParagraph"/>
        <w:numPr>
          <w:ilvl w:val="0"/>
          <w:numId w:val="11"/>
        </w:numPr>
      </w:pPr>
      <w:r>
        <w:t>Where does the disparity appear? The first review should focus on subgroup error metrics such as FPR and FNR, since these show whether one group is systematically over-flagged or under-served.</w:t>
      </w:r>
    </w:p>
    <w:p w14:paraId="3C86FB75" w14:textId="77777777" w:rsidR="0077429D" w:rsidRDefault="0077429D" w:rsidP="0077429D">
      <w:pPr>
        <w:pStyle w:val="ListParagraph"/>
        <w:numPr>
          <w:ilvl w:val="0"/>
          <w:numId w:val="11"/>
        </w:numPr>
      </w:pPr>
      <w:r>
        <w:t>Is the disparity practically meaningful? AIR, ME, and related effect-size measures help determine whether the disparity is large enough to matter operationally, not just statistically.</w:t>
      </w:r>
    </w:p>
    <w:p w14:paraId="216992EB" w14:textId="77777777" w:rsidR="0077429D" w:rsidRDefault="0077429D" w:rsidP="0077429D">
      <w:pPr>
        <w:pStyle w:val="ListParagraph"/>
        <w:numPr>
          <w:ilvl w:val="0"/>
          <w:numId w:val="11"/>
        </w:numPr>
      </w:pPr>
      <w:r>
        <w:t>Is the problem only threshold-related? If subgroup score distributions differ, part of the disparity may come from a shared threshold applied to unequal score behavior. If that is the case, the institution must decide whether threshold policy is defensible.</w:t>
      </w:r>
    </w:p>
    <w:p w14:paraId="6A360BEC" w14:textId="77777777" w:rsidR="0077429D" w:rsidRDefault="0077429D" w:rsidP="0077429D">
      <w:pPr>
        <w:pStyle w:val="ListParagraph"/>
        <w:numPr>
          <w:ilvl w:val="0"/>
          <w:numId w:val="11"/>
        </w:numPr>
      </w:pPr>
      <w:r>
        <w:t>Could proxy effects or unstable feature reliance be involved? The COMPAS lectures also raise the question of whether the model is learning causal signals or proxies. If subgroup disparities are tied to weakly justified features, the problem becomes deeper than simple performance imbalance.</w:t>
      </w:r>
    </w:p>
    <w:p w14:paraId="0EBD545F" w14:textId="6507A082" w:rsidR="0077429D" w:rsidRDefault="0077429D" w:rsidP="0077429D">
      <w:pPr>
        <w:pStyle w:val="ListParagraph"/>
        <w:numPr>
          <w:ilvl w:val="0"/>
          <w:numId w:val="11"/>
        </w:numPr>
      </w:pPr>
      <w:r>
        <w:lastRenderedPageBreak/>
        <w:t>Does the disparity remain under slice-based evaluation and stress? Lecture 04 extends the analysis beyond fairness measurement alone: a responsible audit must also ask whether subgroup weaknesses become worse under shift, stress, or changing operating conditions.</w:t>
      </w:r>
    </w:p>
    <w:p w14:paraId="17BC8804" w14:textId="1B7C3683" w:rsidR="0077429D" w:rsidRDefault="0077429D" w:rsidP="0077429D">
      <w:r w:rsidRPr="0077429D">
        <w:t>The key conclusion is that a model with strong overall performance is not automatically a defensible model. If subgroup error disparities are large, the institution should treat that result as a control failure rather than defend the average. In the COMPAS setting, the central audit question is not whether the model is predictive in general, but whether its benefits and harms are distributed in a way that remains acceptable under scrutiny. That is the real standard of responsible deployment: not strong metrics alone, but evidence that the system remains reliable, fair enough to justify, and governable across the groups that matter in practice.</w:t>
      </w:r>
    </w:p>
    <w:p w14:paraId="2567A681" w14:textId="4C059F4E" w:rsidR="00E847E4" w:rsidRDefault="00000000">
      <w:pPr>
        <w:pStyle w:val="Heading1"/>
      </w:pPr>
      <w:r>
        <w:t>Part D. Less Discriminatory Alternative Reasoning</w:t>
      </w:r>
    </w:p>
    <w:p w14:paraId="10D4BEC0" w14:textId="77777777" w:rsidR="0077429D" w:rsidRDefault="0077429D">
      <w:pPr>
        <w:pStyle w:val="Heading2"/>
        <w:rPr>
          <w:rFonts w:ascii="Calibri" w:eastAsia="Calibri" w:hAnsi="Calibri" w:cstheme="minorBidi"/>
          <w:b w:val="0"/>
          <w:bCs w:val="0"/>
          <w:color w:val="auto"/>
          <w:sz w:val="22"/>
          <w:szCs w:val="22"/>
        </w:rPr>
      </w:pPr>
      <w:r w:rsidRPr="0077429D">
        <w:rPr>
          <w:rFonts w:ascii="Calibri" w:eastAsia="Calibri" w:hAnsi="Calibri" w:cstheme="minorBidi"/>
          <w:b w:val="0"/>
          <w:bCs w:val="0"/>
          <w:color w:val="auto"/>
          <w:sz w:val="22"/>
          <w:szCs w:val="22"/>
        </w:rPr>
        <w:t>Two changes are especially defensible when a model shows strong average performance but meaningful subgroup disparities.</w:t>
      </w:r>
    </w:p>
    <w:p w14:paraId="774001C1" w14:textId="11D0C2FA" w:rsidR="00E847E4" w:rsidRDefault="00000000">
      <w:pPr>
        <w:pStyle w:val="Heading2"/>
      </w:pPr>
      <w:r>
        <w:t>Alternative 1. Feature and Model Redesign</w:t>
      </w:r>
    </w:p>
    <w:p w14:paraId="6D903BA4" w14:textId="05006F0A" w:rsidR="00E847E4" w:rsidRDefault="0077429D">
      <w:r w:rsidRPr="0077429D">
        <w:t>The first option is to redesign the model so that it relies less on unstable, weakly justified, or proxy-heavy signals. In practice, this can mean moving toward a simpler and more interpretable model class, applying stronger regularization, limiting complex interactions, and reviewing features that show high sensitivity or large prediction shifts under counterfactual changes. This approach is justified because shortcut learning and proxy effects often arise when the model captures patterns that are predictive in the sample but not stable or defensible in use. A more constrained model does not eliminate fairness risk by itself, but it can reduce hidden dependence on fragile signals and make feature effects easier to inspect, challenge, and document. The main tradeoff is that aggregate predictive performance may decline somewhat, especially relative to a higher-capacity model. However, in high-stakes settings, a modest reduction in average accuracy may be acceptable if it improves transparency, stability, and subgroup defensibility</w:t>
      </w:r>
      <w:r>
        <w:t>.</w:t>
      </w:r>
    </w:p>
    <w:p w14:paraId="514CE1D0" w14:textId="77777777" w:rsidR="00E847E4" w:rsidRDefault="00000000">
      <w:pPr>
        <w:pStyle w:val="Heading2"/>
      </w:pPr>
      <w:r>
        <w:t>Alternative 2. Decision-System Redesign with Human Review and Monitoring</w:t>
      </w:r>
    </w:p>
    <w:p w14:paraId="0D7FBD4F" w14:textId="74C0AA37" w:rsidR="00E847E4" w:rsidRDefault="0077429D">
      <w:r w:rsidRPr="0077429D">
        <w:t>The second option is to redesign the surrounding decision process rather than relying on the model as a fully automated final decision rule. Under this approach, model scores are converted into calibrated risk bands, borderline cases are escalated to human review, subgroup performance is monitored regularly, and drift or sensitivity triggers are tied to formal remediation workflows. This is a less discriminatory alternative because it reduces the chance that one subgroup absorbs concentrated errors without oversight. It also recognizes that machine learning is not only a model, but a system that includes thresholds, review rules, monitoring, and incident response. The main tradeoff is operational: this design increases review cost, slows decision speed, and requires stronger governance discipline. Human review can also introduce inconsistency if guidelines are weak. Even so, this option is often more defensible because it creates institutional controls around residual model risk instead of pretending that model optimization alone solves the problem</w:t>
      </w:r>
      <w:r>
        <w:t>.</w:t>
      </w:r>
    </w:p>
    <w:p w14:paraId="788E43E1" w14:textId="078048BA" w:rsidR="00E847E4" w:rsidRDefault="0077429D">
      <w:r w:rsidRPr="0077429D">
        <w:t>These alternatives should not be treated as mutually exclusive. A mature audit framework would usually combine them: first reduce unstable feature reliance inside the model, then strengthen the decision process around the model through monitoring, escalation, and review. The key evaluation standard is not whether one option preserves the highest average accuracy. It is whether the revised design reduces subgroup harm while remaining stable, explainable, operationally workable, and legally defensible</w:t>
      </w:r>
      <w:r>
        <w:t>.</w:t>
      </w:r>
    </w:p>
    <w:p w14:paraId="04CF1A2F" w14:textId="77777777" w:rsidR="00E847E4" w:rsidRDefault="00000000">
      <w:pPr>
        <w:pStyle w:val="Heading2"/>
      </w:pPr>
      <w:r>
        <w:lastRenderedPageBreak/>
        <w:t>Tradeoff summary</w:t>
      </w:r>
    </w:p>
    <w:tbl>
      <w:tblPr>
        <w:tblStyle w:val="TableGrid"/>
        <w:tblW w:w="0" w:type="auto"/>
        <w:jc w:val="center"/>
        <w:tblLayout w:type="fixed"/>
        <w:tblLook w:val="04A0" w:firstRow="1" w:lastRow="0" w:firstColumn="1" w:lastColumn="0" w:noHBand="0" w:noVBand="1"/>
      </w:tblPr>
      <w:tblGrid>
        <w:gridCol w:w="2304"/>
        <w:gridCol w:w="2736"/>
        <w:gridCol w:w="2304"/>
        <w:gridCol w:w="2448"/>
      </w:tblGrid>
      <w:tr w:rsidR="00E847E4" w14:paraId="2B62B153" w14:textId="77777777">
        <w:trPr>
          <w:tblHeader/>
          <w:jc w:val="center"/>
        </w:trPr>
        <w:tc>
          <w:tcPr>
            <w:tcW w:w="2304" w:type="dxa"/>
            <w:shd w:val="clear" w:color="auto" w:fill="2F5597"/>
            <w:tcMar>
              <w:top w:w="90" w:type="dxa"/>
              <w:left w:w="70" w:type="dxa"/>
              <w:bottom w:w="90" w:type="dxa"/>
              <w:right w:w="70" w:type="dxa"/>
            </w:tcMar>
          </w:tcPr>
          <w:p w14:paraId="182C31E7" w14:textId="77777777" w:rsidR="00E847E4" w:rsidRDefault="00000000">
            <w:pPr>
              <w:jc w:val="center"/>
            </w:pPr>
            <w:r>
              <w:rPr>
                <w:b/>
                <w:color w:val="FFFFFF"/>
                <w:sz w:val="20"/>
              </w:rPr>
              <w:t>Alternative</w:t>
            </w:r>
          </w:p>
        </w:tc>
        <w:tc>
          <w:tcPr>
            <w:tcW w:w="2736" w:type="dxa"/>
            <w:shd w:val="clear" w:color="auto" w:fill="2F5597"/>
            <w:tcMar>
              <w:top w:w="90" w:type="dxa"/>
              <w:left w:w="70" w:type="dxa"/>
              <w:bottom w:w="90" w:type="dxa"/>
              <w:right w:w="70" w:type="dxa"/>
            </w:tcMar>
          </w:tcPr>
          <w:p w14:paraId="72832090" w14:textId="77777777" w:rsidR="00E847E4" w:rsidRDefault="00000000">
            <w:pPr>
              <w:jc w:val="center"/>
            </w:pPr>
            <w:r>
              <w:rPr>
                <w:b/>
                <w:color w:val="FFFFFF"/>
                <w:sz w:val="20"/>
              </w:rPr>
              <w:t>Main benefit</w:t>
            </w:r>
          </w:p>
        </w:tc>
        <w:tc>
          <w:tcPr>
            <w:tcW w:w="2304" w:type="dxa"/>
            <w:shd w:val="clear" w:color="auto" w:fill="2F5597"/>
            <w:tcMar>
              <w:top w:w="90" w:type="dxa"/>
              <w:left w:w="70" w:type="dxa"/>
              <w:bottom w:w="90" w:type="dxa"/>
              <w:right w:w="70" w:type="dxa"/>
            </w:tcMar>
          </w:tcPr>
          <w:p w14:paraId="2B85369D" w14:textId="77777777" w:rsidR="00E847E4" w:rsidRDefault="00000000">
            <w:pPr>
              <w:jc w:val="center"/>
            </w:pPr>
            <w:r>
              <w:rPr>
                <w:b/>
                <w:color w:val="FFFFFF"/>
                <w:sz w:val="20"/>
              </w:rPr>
              <w:t>Main tradeoff</w:t>
            </w:r>
          </w:p>
        </w:tc>
        <w:tc>
          <w:tcPr>
            <w:tcW w:w="2448" w:type="dxa"/>
            <w:shd w:val="clear" w:color="auto" w:fill="2F5597"/>
            <w:tcMar>
              <w:top w:w="90" w:type="dxa"/>
              <w:left w:w="70" w:type="dxa"/>
              <w:bottom w:w="90" w:type="dxa"/>
              <w:right w:w="70" w:type="dxa"/>
            </w:tcMar>
          </w:tcPr>
          <w:p w14:paraId="308CFA14" w14:textId="77777777" w:rsidR="00E847E4" w:rsidRDefault="00000000">
            <w:pPr>
              <w:jc w:val="center"/>
            </w:pPr>
            <w:r>
              <w:rPr>
                <w:b/>
                <w:color w:val="FFFFFF"/>
                <w:sz w:val="20"/>
              </w:rPr>
              <w:t>Best use</w:t>
            </w:r>
          </w:p>
        </w:tc>
      </w:tr>
      <w:tr w:rsidR="00E847E4" w14:paraId="1DDDE23D" w14:textId="77777777">
        <w:trPr>
          <w:jc w:val="center"/>
        </w:trPr>
        <w:tc>
          <w:tcPr>
            <w:tcW w:w="2304" w:type="dxa"/>
            <w:shd w:val="clear" w:color="auto" w:fill="EAF2F8"/>
            <w:tcMar>
              <w:top w:w="75" w:type="dxa"/>
              <w:left w:w="80" w:type="dxa"/>
              <w:bottom w:w="75" w:type="dxa"/>
              <w:right w:w="80" w:type="dxa"/>
            </w:tcMar>
          </w:tcPr>
          <w:p w14:paraId="043991C0" w14:textId="77777777" w:rsidR="00E847E4" w:rsidRDefault="00000000">
            <w:r>
              <w:rPr>
                <w:sz w:val="18"/>
              </w:rPr>
              <w:t>Feature and model redesign</w:t>
            </w:r>
          </w:p>
        </w:tc>
        <w:tc>
          <w:tcPr>
            <w:tcW w:w="2736" w:type="dxa"/>
            <w:tcMar>
              <w:top w:w="75" w:type="dxa"/>
              <w:left w:w="80" w:type="dxa"/>
              <w:bottom w:w="75" w:type="dxa"/>
              <w:right w:w="80" w:type="dxa"/>
            </w:tcMar>
          </w:tcPr>
          <w:p w14:paraId="2F992900" w14:textId="77777777" w:rsidR="00E847E4" w:rsidRDefault="00000000">
            <w:r>
              <w:rPr>
                <w:sz w:val="18"/>
              </w:rPr>
              <w:t>Reduces unstable reliance and improves transparency</w:t>
            </w:r>
          </w:p>
        </w:tc>
        <w:tc>
          <w:tcPr>
            <w:tcW w:w="2304" w:type="dxa"/>
            <w:tcMar>
              <w:top w:w="75" w:type="dxa"/>
              <w:left w:w="80" w:type="dxa"/>
              <w:bottom w:w="75" w:type="dxa"/>
              <w:right w:w="80" w:type="dxa"/>
            </w:tcMar>
          </w:tcPr>
          <w:p w14:paraId="21C6ABF6" w14:textId="77777777" w:rsidR="00E847E4" w:rsidRDefault="00000000">
            <w:r>
              <w:rPr>
                <w:sz w:val="18"/>
              </w:rPr>
              <w:t>May reduce raw predictive power and require revalidation</w:t>
            </w:r>
          </w:p>
        </w:tc>
        <w:tc>
          <w:tcPr>
            <w:tcW w:w="2448" w:type="dxa"/>
            <w:tcMar>
              <w:top w:w="75" w:type="dxa"/>
              <w:left w:w="80" w:type="dxa"/>
              <w:bottom w:w="75" w:type="dxa"/>
              <w:right w:w="80" w:type="dxa"/>
            </w:tcMar>
          </w:tcPr>
          <w:p w14:paraId="5DBFB05E" w14:textId="77777777" w:rsidR="00E847E4" w:rsidRDefault="00000000">
            <w:r>
              <w:rPr>
                <w:sz w:val="18"/>
              </w:rPr>
              <w:t>When the current mechanism is weakly justified or proxy-heavy</w:t>
            </w:r>
          </w:p>
        </w:tc>
      </w:tr>
      <w:tr w:rsidR="00E847E4" w14:paraId="6B33F56B" w14:textId="77777777">
        <w:trPr>
          <w:jc w:val="center"/>
        </w:trPr>
        <w:tc>
          <w:tcPr>
            <w:tcW w:w="2304" w:type="dxa"/>
            <w:shd w:val="clear" w:color="auto" w:fill="EAF2F8"/>
            <w:tcMar>
              <w:top w:w="75" w:type="dxa"/>
              <w:left w:w="80" w:type="dxa"/>
              <w:bottom w:w="75" w:type="dxa"/>
              <w:right w:w="80" w:type="dxa"/>
            </w:tcMar>
          </w:tcPr>
          <w:p w14:paraId="643CFAB3" w14:textId="77777777" w:rsidR="00E847E4" w:rsidRDefault="00000000">
            <w:r>
              <w:rPr>
                <w:sz w:val="18"/>
              </w:rPr>
              <w:t>Decision-system redesign</w:t>
            </w:r>
          </w:p>
        </w:tc>
        <w:tc>
          <w:tcPr>
            <w:tcW w:w="2736" w:type="dxa"/>
            <w:tcMar>
              <w:top w:w="75" w:type="dxa"/>
              <w:left w:w="80" w:type="dxa"/>
              <w:bottom w:w="75" w:type="dxa"/>
              <w:right w:w="80" w:type="dxa"/>
            </w:tcMar>
          </w:tcPr>
          <w:p w14:paraId="126A9C3E" w14:textId="77777777" w:rsidR="00E847E4" w:rsidRDefault="00000000">
            <w:r>
              <w:rPr>
                <w:sz w:val="18"/>
              </w:rPr>
              <w:t>Reduces harm through review, controls, and monitoring</w:t>
            </w:r>
          </w:p>
        </w:tc>
        <w:tc>
          <w:tcPr>
            <w:tcW w:w="2304" w:type="dxa"/>
            <w:tcMar>
              <w:top w:w="75" w:type="dxa"/>
              <w:left w:w="80" w:type="dxa"/>
              <w:bottom w:w="75" w:type="dxa"/>
              <w:right w:w="80" w:type="dxa"/>
            </w:tcMar>
          </w:tcPr>
          <w:p w14:paraId="1EF8A9A0" w14:textId="77777777" w:rsidR="00E847E4" w:rsidRDefault="00000000">
            <w:r>
              <w:rPr>
                <w:sz w:val="18"/>
              </w:rPr>
              <w:t>Adds cost, time, and process complexity</w:t>
            </w:r>
          </w:p>
        </w:tc>
        <w:tc>
          <w:tcPr>
            <w:tcW w:w="2448" w:type="dxa"/>
            <w:tcMar>
              <w:top w:w="75" w:type="dxa"/>
              <w:left w:w="80" w:type="dxa"/>
              <w:bottom w:w="75" w:type="dxa"/>
              <w:right w:w="80" w:type="dxa"/>
            </w:tcMar>
          </w:tcPr>
          <w:p w14:paraId="44903452" w14:textId="77777777" w:rsidR="00E847E4" w:rsidRDefault="00000000">
            <w:r>
              <w:rPr>
                <w:sz w:val="18"/>
              </w:rPr>
              <w:t>When immediate risk reduction is needed while the model is still being improved</w:t>
            </w:r>
          </w:p>
        </w:tc>
      </w:tr>
    </w:tbl>
    <w:p w14:paraId="435AFC96" w14:textId="77777777" w:rsidR="00E847E4" w:rsidRDefault="00000000">
      <w:pPr>
        <w:pStyle w:val="Heading1"/>
      </w:pPr>
      <w:r>
        <w:t>Conclusion</w:t>
      </w:r>
    </w:p>
    <w:p w14:paraId="5BA7431B" w14:textId="3010EBED" w:rsidR="005B53D3" w:rsidRDefault="005B53D3" w:rsidP="005B53D3">
      <w:r>
        <w:t>A sociotechnical audit is necessary because predictive systems do not fail in only one dimension. A model may experience distribution drift, generalization failure, shortcut reliance, or subgroup disparity, and these failures can emerge even when aggregate performance still looks acceptable. For that reason, standard evaluation metrics are not sufficient for responsible deployment. The relevant question is not only whether the model is accurate on average, but whether its performance remains reliable across meaningful subgroups, stable under changing conditions, and defensible from a governance perspective.</w:t>
      </w:r>
    </w:p>
    <w:p w14:paraId="1498E3EE" w14:textId="3AC658F9" w:rsidR="00E847E4" w:rsidRDefault="005B53D3" w:rsidP="005B53D3">
      <w:r>
        <w:t>In this framework, metrics matter only when they support action. They must help identify the type of failure that is occurring, assess its seriousness, and guide the appropriate institutional response. A defensible predictive system is one that is continuously monitored, evaluated at the slice level, stress-tested under realistic change, and supported by explicit remediation and escalation rules.</w:t>
      </w:r>
    </w:p>
    <w:p w14:paraId="486CE858" w14:textId="77777777" w:rsidR="00E847E4" w:rsidRDefault="00000000">
      <w:pPr>
        <w:pStyle w:val="Heading1"/>
      </w:pPr>
      <w:r>
        <w:t>References</w:t>
      </w:r>
    </w:p>
    <w:p w14:paraId="151A4B5E" w14:textId="77777777" w:rsidR="00E847E4" w:rsidRDefault="00000000">
      <w:pPr>
        <w:pStyle w:val="SmallText"/>
        <w:spacing w:line="276" w:lineRule="auto"/>
      </w:pPr>
      <w:r>
        <w:t>Akinwumi, M. (2026a). DNSC 6330: Responsible Machine Learning - Lecture 01: Foundations of the Alignment Problem. The George Washington University.</w:t>
      </w:r>
    </w:p>
    <w:p w14:paraId="2CCA0EFF" w14:textId="77777777" w:rsidR="00E847E4" w:rsidRDefault="00000000">
      <w:pPr>
        <w:pStyle w:val="SmallText"/>
        <w:spacing w:line="276" w:lineRule="auto"/>
      </w:pPr>
      <w:r>
        <w:t>Akinwumi, M. (2026b). DNSC 6330: Responsible Machine Learning - Lecture 02: Explainability and Interpretability as Diagnostic Tools. The George Washington University.</w:t>
      </w:r>
    </w:p>
    <w:p w14:paraId="5EAE08CD" w14:textId="77777777" w:rsidR="00E847E4" w:rsidRDefault="00000000">
      <w:pPr>
        <w:pStyle w:val="SmallText"/>
        <w:spacing w:line="276" w:lineRule="auto"/>
      </w:pPr>
      <w:r>
        <w:t>Akinwumi, M. (2026c). DNSC 6330: Responsible Machine Learning - Lecture 03: Algorithmic Bias Measurement. The George Washington University.</w:t>
      </w:r>
    </w:p>
    <w:p w14:paraId="55949B34" w14:textId="77777777" w:rsidR="00E847E4" w:rsidRDefault="00000000">
      <w:pPr>
        <w:pStyle w:val="SmallText"/>
        <w:spacing w:line="276" w:lineRule="auto"/>
      </w:pPr>
      <w:r>
        <w:t>Akinwumi, M. (2026d). DNSC 6330: Responsible Machine Learning - Lecture 04: Robustness, Generalization, and Dataset Drift. The George Washington University.</w:t>
      </w:r>
    </w:p>
    <w:sectPr w:rsidR="00E847E4" w:rsidSect="00034616">
      <w:footerReference w:type="default" r:id="rId8"/>
      <w:pgSz w:w="12240" w:h="15840"/>
      <w:pgMar w:top="1080" w:right="1152" w:bottom="1008" w:left="1152"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6AD70" w14:textId="77777777" w:rsidR="00056E20" w:rsidRDefault="00056E20">
      <w:pPr>
        <w:spacing w:after="0" w:line="240" w:lineRule="auto"/>
      </w:pPr>
      <w:r>
        <w:separator/>
      </w:r>
    </w:p>
  </w:endnote>
  <w:endnote w:type="continuationSeparator" w:id="0">
    <w:p w14:paraId="22C63607" w14:textId="77777777" w:rsidR="00056E20" w:rsidRDefault="00056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8821E" w14:textId="639A2B49" w:rsidR="00E847E4" w:rsidRDefault="00000000">
    <w:pPr>
      <w:pStyle w:val="Footer"/>
      <w:jc w:val="center"/>
    </w:pPr>
    <w:r>
      <w:rPr>
        <w:color w:val="646464"/>
        <w:sz w:val="18"/>
      </w:rPr>
      <w:t xml:space="preserve">Lecture 04 Group </w:t>
    </w:r>
    <w:r w:rsidR="005B53D3">
      <w:rPr>
        <w:color w:val="646464"/>
        <w:sz w:val="18"/>
      </w:rPr>
      <w:t xml:space="preserve">4 </w:t>
    </w:r>
    <w:r>
      <w:rPr>
        <w:color w:val="646464"/>
        <w:sz w:val="18"/>
      </w:rPr>
      <w:t>Homework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8EAFE" w14:textId="77777777" w:rsidR="00056E20" w:rsidRDefault="00056E20">
      <w:pPr>
        <w:spacing w:after="0" w:line="240" w:lineRule="auto"/>
      </w:pPr>
      <w:r>
        <w:separator/>
      </w:r>
    </w:p>
  </w:footnote>
  <w:footnote w:type="continuationSeparator" w:id="0">
    <w:p w14:paraId="3F191AF9" w14:textId="77777777" w:rsidR="00056E20" w:rsidRDefault="00056E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DB59D7"/>
    <w:multiLevelType w:val="hybridMultilevel"/>
    <w:tmpl w:val="AFBEBB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F935AB2"/>
    <w:multiLevelType w:val="hybridMultilevel"/>
    <w:tmpl w:val="6F06C1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17172522">
    <w:abstractNumId w:val="8"/>
  </w:num>
  <w:num w:numId="2" w16cid:durableId="1107459666">
    <w:abstractNumId w:val="6"/>
  </w:num>
  <w:num w:numId="3" w16cid:durableId="1005130559">
    <w:abstractNumId w:val="5"/>
  </w:num>
  <w:num w:numId="4" w16cid:durableId="390617547">
    <w:abstractNumId w:val="4"/>
  </w:num>
  <w:num w:numId="5" w16cid:durableId="165171471">
    <w:abstractNumId w:val="7"/>
  </w:num>
  <w:num w:numId="6" w16cid:durableId="434642028">
    <w:abstractNumId w:val="3"/>
  </w:num>
  <w:num w:numId="7" w16cid:durableId="859970558">
    <w:abstractNumId w:val="2"/>
  </w:num>
  <w:num w:numId="8" w16cid:durableId="1457677157">
    <w:abstractNumId w:val="1"/>
  </w:num>
  <w:num w:numId="9" w16cid:durableId="934217104">
    <w:abstractNumId w:val="0"/>
  </w:num>
  <w:num w:numId="10" w16cid:durableId="845482739">
    <w:abstractNumId w:val="10"/>
  </w:num>
  <w:num w:numId="11" w16cid:durableId="7628415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C5F"/>
    <w:rsid w:val="00034616"/>
    <w:rsid w:val="00056E20"/>
    <w:rsid w:val="0006063C"/>
    <w:rsid w:val="00095710"/>
    <w:rsid w:val="000F0448"/>
    <w:rsid w:val="00140F8F"/>
    <w:rsid w:val="0015074B"/>
    <w:rsid w:val="0029639D"/>
    <w:rsid w:val="00326F90"/>
    <w:rsid w:val="00472B29"/>
    <w:rsid w:val="005B53D3"/>
    <w:rsid w:val="0075445F"/>
    <w:rsid w:val="0077429D"/>
    <w:rsid w:val="00882E78"/>
    <w:rsid w:val="008E0CD9"/>
    <w:rsid w:val="00900E85"/>
    <w:rsid w:val="00925B9F"/>
    <w:rsid w:val="00AA1D8D"/>
    <w:rsid w:val="00B47730"/>
    <w:rsid w:val="00C57885"/>
    <w:rsid w:val="00C603ED"/>
    <w:rsid w:val="00CB0664"/>
    <w:rsid w:val="00CD397E"/>
    <w:rsid w:val="00D8018E"/>
    <w:rsid w:val="00DB6123"/>
    <w:rsid w:val="00E847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29C20B"/>
  <w14:defaultImageDpi w14:val="300"/>
  <w15:docId w15:val="{865D556C-DF1E-44EE-A43D-67148050F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4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line="240" w:lineRule="auto"/>
    </w:pPr>
    <w:rPr>
      <w:rFonts w:ascii="Calibri" w:hAnsi="Calibri"/>
      <w:b/>
      <w:color w:val="1F4E79"/>
      <w:sz w:val="44"/>
    </w:rPr>
  </w:style>
  <w:style w:type="paragraph" w:customStyle="1" w:styleId="CustomSubtitle">
    <w:name w:val="CustomSubtitle"/>
    <w:pPr>
      <w:spacing w:line="240" w:lineRule="auto"/>
    </w:pPr>
    <w:rPr>
      <w:rFonts w:ascii="Calibri" w:hAnsi="Calibri"/>
      <w:color w:val="5A5A5A"/>
    </w:rPr>
  </w:style>
  <w:style w:type="paragraph" w:customStyle="1" w:styleId="BoxText">
    <w:name w:val="BoxText"/>
    <w:pPr>
      <w:spacing w:after="80" w:line="259" w:lineRule="auto"/>
    </w:pPr>
    <w:rPr>
      <w:rFonts w:ascii="Calibri" w:hAnsi="Calibri"/>
      <w:sz w:val="21"/>
    </w:rPr>
  </w:style>
  <w:style w:type="paragraph" w:customStyle="1" w:styleId="SmallText">
    <w:name w:val="SmallText"/>
    <w:pPr>
      <w:spacing w:after="80" w:line="252" w:lineRule="auto"/>
    </w:pPr>
    <w:rPr>
      <w:rFonts w:ascii="Calibri" w:hAnsi="Calibr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8</Pages>
  <Words>2828</Words>
  <Characters>15556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Percy Rodriguez</cp:lastModifiedBy>
  <cp:revision>7</cp:revision>
  <dcterms:created xsi:type="dcterms:W3CDTF">2013-12-23T23:15:00Z</dcterms:created>
  <dcterms:modified xsi:type="dcterms:W3CDTF">2026-04-17T20:29:00Z</dcterms:modified>
  <cp:category/>
</cp:coreProperties>
</file>